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Pinsent Masons acquires sustainable finance consultancy Morgan Green Advisory</w:t>
      </w:r>
      <w:br/>
      <w:hyperlink r:id="rId7" w:history="1">
        <w:r>
          <w:rPr>
            <w:color w:val="2980b9"/>
            <w:u w:val="single"/>
          </w:rPr>
          <w:t xml:space="preserve">https://www.pinsentmasons.com/about-us/announcements/pinsent-masons-acquires-sustainable-finance-consultancy-morgan-green-advisory</w:t>
        </w:r>
      </w:hyperlink>
    </w:p>
    <w:p>
      <w:pPr>
        <w:pStyle w:val="Heading1"/>
      </w:pPr>
      <w:bookmarkStart w:id="2" w:name="_Toc2"/>
      <w:r>
        <w:t>Article summary:</w:t>
      </w:r>
      <w:bookmarkEnd w:id="2"/>
    </w:p>
    <w:p>
      <w:pPr>
        <w:jc w:val="both"/>
      </w:pPr>
      <w:r>
        <w:rPr/>
        <w:t xml:space="preserve">1. Pinsent Masons has acquired sustainable finance consultancy Morgan Green Advisory to expand its Climate &amp; Sustainability capability.</w:t>
      </w:r>
    </w:p>
    <w:p>
      <w:pPr>
        <w:jc w:val="both"/>
      </w:pPr>
      <w:r>
        <w:rPr/>
        <w:t xml:space="preserve">2. Morgan Green Advisory provides specialist consultancy services to enable businesses, particularly those in the financial services sector, to reach their sustainability goals by accessing market opportunities and mitigating risk.</w:t>
      </w:r>
    </w:p>
    <w:p>
      <w:pPr>
        <w:jc w:val="both"/>
      </w:pPr>
      <w:r>
        <w:rPr/>
        <w:t xml:space="preserve">3. The acquisition further bolsters Pinsent Masons' commitment to Climate &amp; Sustainability and allows clients to benefit from a multidisciplinary team of advisors.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the acquisition of Morgan Green Advisory by Pinsent Masons, a multinational law firm. The acquisition is aimed at expanding Pinsent Masons' Climate &amp; Sustainability capability and providing specialist consultancy services to businesses in the financial services sector to reach their sustainability goals.</w:t>
      </w:r>
    </w:p>
    <w:p>
      <w:pPr>
        <w:jc w:val="both"/>
      </w:pPr>
      <w:r>
        <w:rPr/>
        <w:t xml:space="preserve"/>
      </w:r>
    </w:p>
    <w:p>
      <w:pPr>
        <w:jc w:val="both"/>
      </w:pPr>
      <w:r>
        <w:rPr/>
        <w:t xml:space="preserve">The article provides a positive outlook on the acquisition, highlighting the benefits of combining expertise and resources to provide clients with a multidisciplinary team of advisors. However, it lacks critical analysis and exploration of potential risks associated with the acquisition.</w:t>
      </w:r>
    </w:p>
    <w:p>
      <w:pPr>
        <w:jc w:val="both"/>
      </w:pPr>
      <w:r>
        <w:rPr/>
        <w:t xml:space="preserve"/>
      </w:r>
    </w:p>
    <w:p>
      <w:pPr>
        <w:jc w:val="both"/>
      </w:pPr>
      <w:r>
        <w:rPr/>
        <w:t xml:space="preserve">One potential bias in the article is its focus on the benefits of sustainable finance without exploring potential criticisms or limitations. For example, some critics argue that sustainable finance may not be effective in achieving environmental goals if it only focuses on reducing carbon emissions without addressing other environmental issues such as biodiversity loss or resource depletion.</w:t>
      </w:r>
    </w:p>
    <w:p>
      <w:pPr>
        <w:jc w:val="both"/>
      </w:pPr>
      <w:r>
        <w:rPr/>
        <w:t xml:space="preserve"/>
      </w:r>
    </w:p>
    <w:p>
      <w:pPr>
        <w:jc w:val="both"/>
      </w:pPr>
      <w:r>
        <w:rPr/>
        <w:t xml:space="preserve">Additionally, the article does not provide evidence for some claims made, such as "new financial sustainability regulations, standards and changing stakeholder expectations are driving significant demand for complex sustainability advice and support." It would have been helpful to include data or examples to support this claim.</w:t>
      </w:r>
    </w:p>
    <w:p>
      <w:pPr>
        <w:jc w:val="both"/>
      </w:pPr>
      <w:r>
        <w:rPr/>
        <w:t xml:space="preserve"/>
      </w:r>
    </w:p>
    <w:p>
      <w:pPr>
        <w:jc w:val="both"/>
      </w:pPr>
      <w:r>
        <w:rPr/>
        <w:t xml:space="preserve">Furthermore, while the article mentions that MGA advises leading financial institutions, asset and fund managers, development finance institutions, consultancies and private fund managers on all aspects of their sustainability strategies, it does not mention any potential conflicts of interest that may arise from advising these organizations. For example, some financial institutions may prioritize profit over sustainability goals.</w:t>
      </w:r>
    </w:p>
    <w:p>
      <w:pPr>
        <w:jc w:val="both"/>
      </w:pPr>
      <w:r>
        <w:rPr/>
        <w:t xml:space="preserve"/>
      </w:r>
    </w:p>
    <w:p>
      <w:pPr>
        <w:jc w:val="both"/>
      </w:pPr>
      <w:r>
        <w:rPr/>
        <w:t xml:space="preserve">Overall, while the article provides useful information about the acquisition and its potential benefits for clients seeking sustainable finance advice, it could benefit from more critical analysis and exploration of potential risks associated with sustainable finance.</w:t>
      </w:r>
    </w:p>
    <w:p>
      <w:pPr>
        <w:pStyle w:val="Heading1"/>
      </w:pPr>
      <w:bookmarkStart w:id="5" w:name="_Toc5"/>
      <w:r>
        <w:t>Topics for further research:</w:t>
      </w:r>
      <w:bookmarkEnd w:id="5"/>
    </w:p>
    <w:p>
      <w:pPr>
        <w:spacing w:after="0"/>
        <w:numPr>
          <w:ilvl w:val="0"/>
          <w:numId w:val="2"/>
        </w:numPr>
      </w:pPr>
      <w:r>
        <w:rPr/>
        <w:t xml:space="preserve">Criticisms of sustainable finance beyond carbon emissions
</w:t>
      </w:r>
    </w:p>
    <w:p>
      <w:pPr>
        <w:spacing w:after="0"/>
        <w:numPr>
          <w:ilvl w:val="0"/>
          <w:numId w:val="2"/>
        </w:numPr>
      </w:pPr>
      <w:r>
        <w:rPr/>
        <w:t xml:space="preserve">Limitations of sustainable finance in achieving environmental goals
</w:t>
      </w:r>
    </w:p>
    <w:p>
      <w:pPr>
        <w:spacing w:after="0"/>
        <w:numPr>
          <w:ilvl w:val="0"/>
          <w:numId w:val="2"/>
        </w:numPr>
      </w:pPr>
      <w:r>
        <w:rPr/>
        <w:t xml:space="preserve">Evidence for increasing demand for sustainability advice and support
</w:t>
      </w:r>
    </w:p>
    <w:p>
      <w:pPr>
        <w:spacing w:after="0"/>
        <w:numPr>
          <w:ilvl w:val="0"/>
          <w:numId w:val="2"/>
        </w:numPr>
      </w:pPr>
      <w:r>
        <w:rPr/>
        <w:t xml:space="preserve">Conflicts of interest in advising financial institutions on sustainability
</w:t>
      </w:r>
    </w:p>
    <w:p>
      <w:pPr>
        <w:spacing w:after="0"/>
        <w:numPr>
          <w:ilvl w:val="0"/>
          <w:numId w:val="2"/>
        </w:numPr>
      </w:pPr>
      <w:r>
        <w:rPr/>
        <w:t xml:space="preserve">Risks associated with sustainable finance for businesses
</w:t>
      </w:r>
    </w:p>
    <w:p>
      <w:pPr>
        <w:numPr>
          <w:ilvl w:val="0"/>
          <w:numId w:val="2"/>
        </w:numPr>
      </w:pPr>
      <w:r>
        <w:rPr/>
        <w:t xml:space="preserve">Multidisciplinary approaches to sustainable finance beyond legal and advisory services</w:t>
      </w:r>
    </w:p>
    <w:p>
      <w:pPr>
        <w:pStyle w:val="Heading1"/>
      </w:pPr>
      <w:bookmarkStart w:id="6" w:name="_Toc6"/>
      <w:r>
        <w:t>Report location:</w:t>
      </w:r>
      <w:bookmarkEnd w:id="6"/>
    </w:p>
    <w:p>
      <w:hyperlink r:id="rId8" w:history="1">
        <w:r>
          <w:rPr>
            <w:color w:val="2980b9"/>
            <w:u w:val="single"/>
          </w:rPr>
          <w:t xml:space="preserve">https://www.fullpicture.app/item/ffce15d5d3f1ac547b7cbcbc946828af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88D6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insentmasons.com/about-us/announcements/pinsent-masons-acquires-sustainable-finance-consultancy-morgan-green-advisory" TargetMode="External"/><Relationship Id="rId8" Type="http://schemas.openxmlformats.org/officeDocument/2006/relationships/hyperlink" Target="https://www.fullpicture.app/item/ffce15d5d3f1ac547b7cbcbc946828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2023-03-19T21:41:31+01:00</dcterms:created>
  <dcterms:modified xsi:type="dcterms:W3CDTF">2023-03-19T21:41:31+01:00</dcterms:modified>
</cp:coreProperties>
</file>

<file path=docProps/custom.xml><?xml version="1.0" encoding="utf-8"?>
<Properties xmlns="http://schemas.openxmlformats.org/officeDocument/2006/custom-properties" xmlns:vt="http://schemas.openxmlformats.org/officeDocument/2006/docPropsVTypes"/>
</file>