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Frontiers | Severe Illness Anxiety Treated by Integrating Inpatient Psychotherapy With Medical Care and Minimizing Reassurance</w:t>
      </w:r>
      <w:br/>
      <w:hyperlink r:id="rId7" w:history="1">
        <w:r>
          <w:rPr>
            <w:color w:val="2980b9"/>
            <w:u w:val="single"/>
          </w:rPr>
          <w:t xml:space="preserve">https://www.frontiersin.org/articles/10.3389/fpsyt.2019.00150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Illness anxiety disorder (IAD) is a condition characterized by excessive concern about acquiring or having serious medical illnesses, persisting despite normal medical workup and reassurance.</w:t>
      </w:r>
    </w:p>
    <w:p>
      <w:pPr>
        <w:jc w:val="both"/>
      </w:pPr>
      <w:r>
        <w:rPr/>
        <w:t xml:space="preserve">2. Severe IAD often results in high healthcare utilization and is unlikely to resolve sporadically, requiring proper treatment that integrates psychotherapy with medical care.</w:t>
      </w:r>
    </w:p>
    <w:p>
      <w:pPr>
        <w:jc w:val="both"/>
      </w:pPr>
      <w:r>
        <w:rPr/>
        <w:t xml:space="preserve">3. Well-intentioned physicians may try repeatedly reassuring patients or changing medical management to allay patients' anxieties, but this is counter-productive without concurrent psychotherapy. Cognitive-behavioral therapy (CBT) protocols can be effectively applied to treat IAD, but the primary challenge lies in integrating it with medical care.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这篇文章介绍了一种将住院心理治疗与医疗护理相结合，并最大限度减少安慰的方法来治疗严重的疾病焦虑。然而，文章存在一些潜在的偏见和问题。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首先，文章没有提供足够的证据来支持其主张。它只引用了一些来源，但没有具体说明这些来源是如何得出结论的。此外，文章没有提供任何实际案例或数据来支持所述方法的有效性。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其次，文章可能存在片面报道的问题。它只关注了一位女性患者的个案，并未涉及其他类型或情况下的疾病焦虑患者。因此，读者很难确定该方法是否适用于所有人。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似乎忽视了其他可能影响疾病焦虑的因素。例如，家庭成员的健康问题可能对患者产生重大影响，但文章并未深入探讨这一点。同样地，它也没有考虑到其他心理因素或社会环境对患者焦虑程度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另一个问题是文章中缺乏反驳观点或挑战性观点。它只呈现了作者认为有效的方法，而没有探讨其他可能的治疗选择或观点。这种单一性可能导致读者对该方法的效果产生怀疑。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最后，文章似乎存在宣传内容和偏袒的倾向。它强调了所述方法的优势，并未提及任何潜在的风险或限制。这种不平衡的呈现可能会误导读者，并使他们对该方法过于乐观。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潜在的偏见和问题，包括缺乏证据支持、片面报道、忽视其他因素、缺乏反驳观点以及宣传内容和偏袒倾向。读者应该保持批判思维，并寻找更多可靠的信息来评估该方法的有效性和适用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住院心理治疗与医疗护理的结合方法
</w:t>
      </w:r>
    </w:p>
    <w:p>
      <w:pPr>
        <w:spacing w:after="0"/>
        <w:numPr>
          <w:ilvl w:val="0"/>
          <w:numId w:val="2"/>
        </w:numPr>
      </w:pPr>
      <w:r>
        <w:rPr/>
        <w:t xml:space="preserve">疾病焦虑的治疗方法有效性的证据
</w:t>
      </w:r>
    </w:p>
    <w:p>
      <w:pPr>
        <w:spacing w:after="0"/>
        <w:numPr>
          <w:ilvl w:val="0"/>
          <w:numId w:val="2"/>
        </w:numPr>
      </w:pPr>
      <w:r>
        <w:rPr/>
        <w:t xml:space="preserve">其他类型或情况下的疾病焦虑患者的适用性
</w:t>
      </w:r>
    </w:p>
    <w:p>
      <w:pPr>
        <w:spacing w:after="0"/>
        <w:numPr>
          <w:ilvl w:val="0"/>
          <w:numId w:val="2"/>
        </w:numPr>
      </w:pPr>
      <w:r>
        <w:rPr/>
        <w:t xml:space="preserve">家庭成员健康问题对患者焦虑的影响
</w:t>
      </w:r>
    </w:p>
    <w:p>
      <w:pPr>
        <w:spacing w:after="0"/>
        <w:numPr>
          <w:ilvl w:val="0"/>
          <w:numId w:val="2"/>
        </w:numPr>
      </w:pPr>
      <w:r>
        <w:rPr/>
        <w:t xml:space="preserve">其他心理因素或社会环境对患者焦虑程度的影响
</w:t>
      </w:r>
    </w:p>
    <w:p>
      <w:pPr>
        <w:numPr>
          <w:ilvl w:val="0"/>
          <w:numId w:val="2"/>
        </w:numPr>
      </w:pPr>
      <w:r>
        <w:rPr/>
        <w:t xml:space="preserve">其他可能的治疗选择或观点的探讨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https://www.fullpicture.app/item/ffcc2327389d495047fa0197d6f51907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6B693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rontiersin.org/articles/10.3389/fpsyt.2019.00150" TargetMode="External"/><Relationship Id="rId8" Type="http://schemas.openxmlformats.org/officeDocument/2006/relationships/hyperlink" Target="https://www.fullpicture.app/item/ffcc2327389d495047fa0197d6f5190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2023-08-15T15:52:09+02:00</dcterms:created>
  <dcterms:modified xsi:type="dcterms:W3CDTF">2023-08-15T15:52:09+02:00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