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Defining the core Arabidopsis thaliana root microbiome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https://www.nature.com/articles/nature11237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通过实验变量，如土壤类型、植物样本部分、植物年龄和基因型等，定义了拟南芥根系微生物群落。</w:t>
      </w:r>
    </w:p>
    <w:p>
      <w:pPr>
        <w:jc w:val="both"/>
      </w:pPr>
      <w:r>
        <w:rPr/>
        <w:t xml:space="preserve">2. 对种子进行表面消毒处理后，通过深度测序验证了种子无菌性。</w:t>
      </w:r>
    </w:p>
    <w:p>
      <w:pPr>
        <w:jc w:val="both"/>
      </w:pPr>
      <w:r>
        <w:rPr/>
        <w:t xml:space="preserve">3. 从每个单独的植物中准备了两个微生物样本分数：根际（可以用缓冲液/洗涤剂溶液从根的外表面覆盖的土层中洗出的细菌）和EC（经过超声波去除根际后从植物根系内部收集的细菌）。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作为一篇科学研究论文，该文章的内容相对客观和中立。然而，可能存在一些潜在的偏见和局限性。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首先，该研究仅关注了拟南芥根系微生物群落的核心成分，而没有考虑其他可能存在的微生物种类。这可能导致对整个微生物群落的理解不够全面。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其次，该研究采用了特定的实验条件和方法来收集样本，并且只考虑了特定的土壤类型、植物品种和发育阶段等因素。这些限制可能会影响结果的普适性和可靠性。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此外，在文章中并未提及作者们是否注意到可能存在的风险或潜在问题，并且也没有探讨任何反驳意见或争议点。这可能会使读者对该研究结果产生怀疑或不信任。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总之，尽管该文章是一篇科学研究论文，但仍需要谨慎地评估其结论，并考虑其中可能存在的偏见和局限性。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microbial species in Arabidopsis root microbiome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and reliability of experimental conditions and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Acknowledgment of potential controversies or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Critical evaluation of the study's conclusions
</w:t>
      </w:r>
    </w:p>
    <w:p>
      <w:pPr>
        <w:numPr>
          <w:ilvl w:val="0"/>
          <w:numId w:val="2"/>
        </w:numPr>
      </w:pPr>
      <w:r>
        <w:rPr/>
        <w:t xml:space="preserve">Consideration of biases and limitations in the research design.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https://www.fullpicture.app/item/ff05fb333f4b72e40b734518c00cb68e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16E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nature11237" TargetMode="External"/><Relationship Id="rId8" Type="http://schemas.openxmlformats.org/officeDocument/2006/relationships/hyperlink" Target="https://www.fullpicture.app/item/ff05fb333f4b72e40b734518c00cb6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2023-03-31T17:18:27+02:00</dcterms:created>
  <dcterms:modified xsi:type="dcterms:W3CDTF">2023-03-31T17:18:27+02:00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