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Effects of stacking fault energy on deformation induced grain boundary relaxation in nanograined Cu alloys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https://www.sciencedirect.com/science/article/pii/S135964542200636X?via%3Dihub=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Nanograined metals have higher strength but reduced thermal stability due to the large population of grain boundaries with high mobility.</w:t>
      </w:r>
    </w:p>
    <w:p>
      <w:pPr>
        <w:jc w:val="both"/>
      </w:pPr>
      <w:r>
        <w:rPr/>
        <w:t xml:space="preserve">2. Two strategies to enhance stability in nanograined metals are GB segregation and GB relaxation.</w:t>
      </w:r>
    </w:p>
    <w:p>
      <w:pPr>
        <w:jc w:val="both"/>
      </w:pPr>
      <w:r>
        <w:rPr/>
        <w:t xml:space="preserve">3. The deformation mechanism and dislocation behaviors of metals are closely related to their stacking fault energy (SFE), which affects whether twinning or dislocation slip governs plastic deformation in different alloys.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该文章主要探讨了纳米晶铜合金中堆垛层错能对晶界松弛的影响。然而，该文章存在一些偏见和不足之处。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充分考虑其他因素对纳米晶稳定性的影响。例如，纳米晶中的杂质、缺陷和应力等因素也可能会影响其热稳定性。此外，该文章只关注了化学策略和晶体学策略对纳米晶稳定性的影响，但未考虑其他可能的策略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其次，该文章提出了自主晶界松弛机制，并将其归因于局部位错滑移。然而，这种机制是否适用于所有纳米晶铜合金仍需进一步研究。此外，该文章未提供足够的实验证据来支持这种机制。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此外，在讨论堆垛层错能对塑性变形机制和位错行为的影响时，该文章忽略了其他重要因素如温度、应变速率等。这些因素也可能会影响位错行为和塑性变形机制。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最后，在讨论化学策略时，该文章只列举了几个例子，并未全面评估其适用性和效果。此外，该文章未探讨化学策略可能带来的副作用和风险。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综上所述，该文章存在一些偏见和不足之处，需要更全面、客观地评估纳米晶铜合金稳定性的影响因素。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affecting nanocrystal stability
</w:t>
      </w:r>
    </w:p>
    <w:p>
      <w:pPr>
        <w:spacing w:after="0"/>
        <w:numPr>
          <w:ilvl w:val="0"/>
          <w:numId w:val="2"/>
        </w:numPr>
      </w:pPr>
      <w:r>
        <w:rPr/>
        <w:t xml:space="preserve">Limitations of the proposed mechanism for autonomous grain boundary relaxation
</w:t>
      </w:r>
    </w:p>
    <w:p>
      <w:pPr>
        <w:spacing w:after="0"/>
        <w:numPr>
          <w:ilvl w:val="0"/>
          <w:numId w:val="2"/>
        </w:numPr>
      </w:pPr>
      <w:r>
        <w:rPr/>
        <w:t xml:space="preserve">Influence of temperature and strain rate on dislocation behavior and plastic deformation mechanism
</w:t>
      </w:r>
    </w:p>
    <w:p>
      <w:pPr>
        <w:spacing w:after="0"/>
        <w:numPr>
          <w:ilvl w:val="0"/>
          <w:numId w:val="2"/>
        </w:numPr>
      </w:pPr>
      <w:r>
        <w:rPr/>
        <w:t xml:space="preserve">Evaluation of the applicability and effectiveness of chemical strategies
</w:t>
      </w:r>
    </w:p>
    <w:p>
      <w:pPr>
        <w:spacing w:after="0"/>
        <w:numPr>
          <w:ilvl w:val="0"/>
          <w:numId w:val="2"/>
        </w:numPr>
      </w:pPr>
      <w:r>
        <w:rPr/>
        <w:t xml:space="preserve">Potential side effects and risks of chemical strategies
</w:t>
      </w:r>
    </w:p>
    <w:p>
      <w:pPr>
        <w:numPr>
          <w:ilvl w:val="0"/>
          <w:numId w:val="2"/>
        </w:numPr>
      </w:pPr>
      <w:r>
        <w:rPr/>
        <w:t xml:space="preserve">Need for a more comprehensive and objective assessment of factors affecting nanocrystal copper alloy stability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https://www.fullpicture.app/item/fdb27e94aabc7cfb7d7a24ec7f9c1749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3E88E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135964542200636X?via%3Dihub=" TargetMode="External"/><Relationship Id="rId8" Type="http://schemas.openxmlformats.org/officeDocument/2006/relationships/hyperlink" Target="https://www.fullpicture.app/item/fdb27e94aabc7cfb7d7a24ec7f9c174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2023-05-23T12:41:00+02:00</dcterms:created>
  <dcterms:modified xsi:type="dcterms:W3CDTF">2023-05-23T12:41:00+02:00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