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用于燃烧后CO2捕获胺工艺的先进汽提塔配置的技术经济性分析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https://www.sciencedirect.com/science/article/pii/S0360544220312718?casa_token=NT880RbXF7EAAAAA%3AM0x0vsifrQHcbItkhb6Gkno0ueE6GkNK3vfWVceAuk6QuGd_P5RbcdAX5hCos0DDQYdSvtep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燃烧后CO2捕获胺工艺是减少化石燃料电力生产中CO2排放的重要技术之一。</w:t>
      </w:r>
    </w:p>
    <w:p>
      <w:pPr>
        <w:jc w:val="both"/>
      </w:pPr>
      <w:r>
        <w:rPr/>
        <w:t xml:space="preserve">2. 基于单乙醇胺的化学吸收过程是商业化应用最成功的捕获技术之一。</w:t>
      </w:r>
    </w:p>
    <w:p>
      <w:pPr>
        <w:jc w:val="both"/>
      </w:pPr>
      <w:r>
        <w:rPr/>
        <w:t xml:space="preserve">3. 技术经济性分析可以帮助评估先进汽提塔配置方案的可行性和效益。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作为一篇科技经济性分析的文章，本文主要关注燃烧后CO2捕获胺工艺先进汽提塔配置的技术和经济性。然而，在阅读过程中，我发现该文章存在以下几个问题：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偏重技术细节而忽略环境和社会影响</w:t>
      </w:r>
    </w:p>
    <w:p>
      <w:pPr>
        <w:jc w:val="both"/>
      </w:pPr>
      <w:r>
        <w:rPr/>
        <w:t xml:space="preserve">本文主要关注如何通过技术手段减少二氧化碳排放，但却忽略了这些技术可能对环境和社会造成的影响。例如，使用胺类溶剂进行二氧化碳捕获可能会导致能源消耗增加、废水处理难度增加等问题。此外，该文章也没有探讨这些技术是否符合可持续发展原则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缺乏对其他解决方案的比较</w:t>
      </w:r>
    </w:p>
    <w:p>
      <w:pPr>
        <w:jc w:val="both"/>
      </w:pPr>
      <w:r>
        <w:rPr/>
        <w:t xml:space="preserve">虽然本文提到了干式和湿式吸附剂等其他二氧化碳捕获技术，但并未对它们进行深入比较。这使得读者很难判断为什么选择胺类溶剂作为最佳解决方案。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缺乏数据支持</w:t>
      </w:r>
    </w:p>
    <w:p>
      <w:pPr>
        <w:jc w:val="both"/>
      </w:pPr>
      <w:r>
        <w:rPr/>
        <w:t xml:space="preserve">尽管本文提供了一些数字来支持其结论，但是缺乏足够的数据来证明其观点。例如，在讨论经济性时，并没有提供详细的成本分析或收益预测。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存在专业术语过多</w:t>
      </w:r>
    </w:p>
    <w:p>
      <w:pPr>
        <w:jc w:val="both"/>
      </w:pPr>
      <w:r>
        <w:rPr/>
        <w:t xml:space="preserve">该文章使用了大量专业术语和公式，使得普通读者很难理解其内容。这也限制了该文章传达信息的效果。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总之，虽然本文提供了一些有价值的信息和见解，但是它也存在上述问题。因此，在阅读时需要保持批判思维，并结合其他来源进行深入思考。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and social impact of amine-based solvent CO2 capture technology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CO2 capture solutions
</w:t>
      </w:r>
    </w:p>
    <w:p>
      <w:pPr>
        <w:spacing w:after="0"/>
        <w:numPr>
          <w:ilvl w:val="0"/>
          <w:numId w:val="2"/>
        </w:numPr>
      </w:pPr>
      <w:r>
        <w:rPr/>
        <w:t xml:space="preserve">Lack of data to support the conclusions
</w:t>
      </w:r>
    </w:p>
    <w:p>
      <w:pPr>
        <w:spacing w:after="0"/>
        <w:numPr>
          <w:ilvl w:val="0"/>
          <w:numId w:val="2"/>
        </w:numPr>
      </w:pPr>
      <w:r>
        <w:rPr/>
        <w:t xml:space="preserve">Excessive use of technical jargon
</w:t>
      </w:r>
    </w:p>
    <w:p>
      <w:pPr>
        <w:spacing w:after="0"/>
        <w:numPr>
          <w:ilvl w:val="0"/>
          <w:numId w:val="2"/>
        </w:numPr>
      </w:pPr>
      <w:r>
        <w:rPr/>
        <w:t xml:space="preserve">Sustainable development principles
</w:t>
      </w:r>
    </w:p>
    <w:p>
      <w:pPr>
        <w:numPr>
          <w:ilvl w:val="0"/>
          <w:numId w:val="2"/>
        </w:numPr>
      </w:pPr>
      <w:r>
        <w:rPr/>
        <w:t xml:space="preserve">Cost analysis and profit forecasting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https://www.fullpicture.app/item/fc9a3f72a7f6a020edd625eeeb36210e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A29B3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60544220312718?casa_token=NT880RbXF7EAAAAA%3AM0x0vsifrQHcbItkhb6Gkno0ueE6GkNK3vfWVceAuk6QuGd_P5RbcdAX5hCos0DDQYdSvtep" TargetMode="External"/><Relationship Id="rId8" Type="http://schemas.openxmlformats.org/officeDocument/2006/relationships/hyperlink" Target="https://www.fullpicture.app/item/fc9a3f72a7f6a020edd625eeeb36210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2023-12-07T22:45:17+01:00</dcterms:created>
  <dcterms:modified xsi:type="dcterms:W3CDTF">2023-12-07T22:45:17+01:00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