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数字普惠金融对企业投资效率的影响研究_参考网</w:t>
      </w:r>
      <w:br/>
      <w:hyperlink r:id="rId7" w:history="1">
        <w:r>
          <w:rPr>
            <w:color w:val="2980b9"/>
            <w:u w:val="single"/>
          </w:rPr>
          <w:t xml:space="preserve">https://www.fx361.cc/page/2023/0104/17808521.shtml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高效投资是企业获得竞争优势的关键，数字普惠金融可以通过改善信息不对称、降低融资成本和拓宽融资渠道等方式提高企业投资效率。</w:t>
      </w:r>
    </w:p>
    <w:p>
      <w:pPr>
        <w:jc w:val="both"/>
      </w:pPr>
      <w:r>
        <w:rPr/>
        <w:t xml:space="preserve">2. 数字普惠金融对企业投资效率的影响存在正负两面性，需要考虑企业产权性质等因素的影响。</w:t>
      </w:r>
    </w:p>
    <w:p>
      <w:pPr>
        <w:jc w:val="both"/>
      </w:pPr>
      <w:r>
        <w:rPr/>
        <w:t xml:space="preserve">3. 该研究从数字普惠金融的角度探讨了企业投资效率问题，丰富了影响投资效率的因素，并为当前增量金融改革提供了微观实证依据。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该文章主要探讨数字普惠金融对企业投资效率的影响，但其存在一些潜在的偏见和不足之处。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数字普惠金融可能带来的风险和负面影响。数字普惠金融虽然可以提高企业的融资渠道和信息透明度，但也可能导致过度借贷和投机行为，增加企业的风险和不稳定性。此外，数字普惠金融还可能加剧贫富差距、地区差异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观点。文章主要关注数字普惠金融对企业投资效率的积极影响，但并未探讨传统金融渠道或其他因素对企业投资效率的影响。因此，在评估数字普惠金融对企业投资效率的影响时，需要将其与其他因素进行比较，并全面考虑各种可能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假设和主张，但缺乏充分证据支持。例如，在理论分析中提到了数字普惠金融可以通过改善信息不对称、降低债务融资成本和拓宽融资渠道等方式提高企业投资效率，但并未提供充分的实证研究支持这些假设。因此，需要更多的实证研究来验证这些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一定程度的宣传内容和偏袒。文章主要关注数字普惠金融对企业投资效率的积极影响，并强调其在国家发展战略中的重要性。然而，在评估数字普惠金融对企业投资效率的影响时，需要客观、平等地考虑各种因素，并避免过度宣传或偏袒某一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探讨了数字普惠金融对企业投资效率的影响，但存在一些潜在的偏见和不足之处。在进一步研究数字普惠金融对企业投资效率的影响时，需要全面考虑各种可能因素，并进行客观、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negative impacts of digital inclusive finance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traditional finance channels and other factors
</w:t>
      </w:r>
    </w:p>
    <w:p>
      <w:pPr>
        <w:spacing w:after="0"/>
        <w:numPr>
          <w:ilvl w:val="0"/>
          <w:numId w:val="2"/>
        </w:numPr>
      </w:pPr>
      <w:r>
        <w:rPr/>
        <w:t xml:space="preserve">Need for empirical evidence to support assumptions and claims
</w:t>
      </w:r>
    </w:p>
    <w:p>
      <w:pPr>
        <w:spacing w:after="0"/>
        <w:numPr>
          <w:ilvl w:val="0"/>
          <w:numId w:val="2"/>
        </w:numPr>
      </w:pPr>
      <w:r>
        <w:rPr/>
        <w:t xml:space="preserve">Objectivity and avoidance of bias in evaluating impact
</w:t>
      </w:r>
    </w:p>
    <w:p>
      <w:pPr>
        <w:spacing w:after="0"/>
        <w:numPr>
          <w:ilvl w:val="0"/>
          <w:numId w:val="2"/>
        </w:numPr>
      </w:pPr>
      <w:r>
        <w:rPr/>
        <w:t xml:space="preserve">Potential exacerbation of inequality and regional disparities
</w:t>
      </w:r>
    </w:p>
    <w:p>
      <w:pPr>
        <w:numPr>
          <w:ilvl w:val="0"/>
          <w:numId w:val="2"/>
        </w:numPr>
      </w:pPr>
      <w:r>
        <w:rPr/>
        <w:t xml:space="preserve">Importance of considering multiple factors in assessing impact on investment efficiency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https://www.fullpicture.app/item/f98c27a3e5752955c0a43b1c6debab08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4E2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x361.cc/page/2023/0104/17808521.shtml" TargetMode="External"/><Relationship Id="rId8" Type="http://schemas.openxmlformats.org/officeDocument/2006/relationships/hyperlink" Target="https://www.fullpicture.app/item/f98c27a3e5752955c0a43b1c6debab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2023-12-08T20:12:30+01:00</dcterms:created>
  <dcterms:modified xsi:type="dcterms:W3CDTF">2023-12-08T20:12:30+01:00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