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impact of economic policy uncertainty on stock volatility: Evidence from GARCH–MIDAS approach - ScienceDirect</w:t>
      </w:r>
      <w:br/>
      <w:hyperlink r:id="rId7" w:history="1">
        <w:r>
          <w:rPr>
            <w:color w:val="2980b9"/>
            <w:u w:val="single"/>
          </w:rPr>
          <w:t xml:space="preserve">https://vpn.jlu.edu.cn/https/6a6c7576706e6973746865676f6f642146ab1ccab988c2a628982887fb4b0f3fca7e3a30a5/science/article/pii/S0378437121000662?via%3Dihub=</w:t>
        </w:r>
      </w:hyperlink>
    </w:p>
    <w:p>
      <w:pPr>
        <w:pStyle w:val="Heading1"/>
      </w:pPr>
      <w:bookmarkStart w:id="2" w:name="_Toc2"/>
      <w:r>
        <w:t>Article summary:</w:t>
      </w:r>
      <w:bookmarkEnd w:id="2"/>
    </w:p>
    <w:p>
      <w:pPr>
        <w:jc w:val="both"/>
      </w:pPr>
      <w:r>
        <w:rPr/>
        <w:t xml:space="preserve">1. 本文研究了经济政策不确定性对股票波动率的影响。</w:t>
      </w:r>
    </w:p>
    <w:p>
      <w:pPr>
        <w:jc w:val="both"/>
      </w:pPr>
      <w:r>
        <w:rPr/>
        <w:t xml:space="preserve">2. GARCH-MIDAS模型可以直接将低频经济政策不确定性指数和高频股票回报纳入模型和预测股票指数波动率。</w:t>
      </w:r>
    </w:p>
    <w:p>
      <w:pPr>
        <w:jc w:val="both"/>
      </w:pPr>
      <w:r>
        <w:rPr/>
        <w:t xml:space="preserve">3. 实证结果表明，中国经济政策不确定性指数的变化率水平和方差对于股票指数波动率预测提供了有用的信息，并且GARCH-MIDAS模型中实现波动率和经济政策不确定性的组合可以显著提高股票指数波动率的预测表现。</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作为一篇经济学研究论文，该文章在方法和数据分析方面较为严谨。然而，在结果的解释和讨论中存在一些潜在的偏见和局限性。</w:t>
      </w:r>
    </w:p>
    <w:p>
      <w:pPr>
        <w:jc w:val="both"/>
      </w:pPr>
      <w:r>
        <w:rPr/>
        <w:t xml:space="preserve"/>
      </w:r>
    </w:p>
    <w:p>
      <w:pPr>
        <w:jc w:val="both"/>
      </w:pPr>
      <w:r>
        <w:rPr/>
        <w:t xml:space="preserve">首先，该文章没有充分考虑到可能存在的其他因素对股票波动率的影响。例如，宏观经济环境、公司基本面、市场情绪等因素都可能对股票波动率产生重要影响。如果这些因素被忽略或未能得到充分控制，那么文章所得出的结论就可能受到误导。</w:t>
      </w:r>
    </w:p>
    <w:p>
      <w:pPr>
        <w:jc w:val="both"/>
      </w:pPr>
      <w:r>
        <w:rPr/>
        <w:t xml:space="preserve"/>
      </w:r>
    </w:p>
    <w:p>
      <w:pPr>
        <w:jc w:val="both"/>
      </w:pPr>
      <w:r>
        <w:rPr/>
        <w:t xml:space="preserve">其次，该文章似乎将经济政策不确定性视为一个单一的变量，并没有对其内部结构进行深入探究。实际上，经济政策不确定性是由多种因素共同作用而成的复杂现象，包括政治风险、贸易摩擦、金融市场波动等等。如果不能将这些因素区分开来并进行逐一分析，那么文章所得出的结论也可能过于简单化。</w:t>
      </w:r>
    </w:p>
    <w:p>
      <w:pPr>
        <w:jc w:val="both"/>
      </w:pPr>
      <w:r>
        <w:rPr/>
        <w:t xml:space="preserve"/>
      </w:r>
    </w:p>
    <w:p>
      <w:pPr>
        <w:jc w:val="both"/>
      </w:pPr>
      <w:r>
        <w:rPr/>
        <w:t xml:space="preserve">此外，在讨论中作者似乎暗示了经济政策不确定性是导致股票波动率增加的主要原因之一。然而，这种说法缺乏充分的证据支持。实际上，股票波动率受多种因素影响，而经济政策不确定性只是其中之一。如果不能将这些因素进行充分比较和分析，那么文章所得出的结论就可能过于片面。</w:t>
      </w:r>
    </w:p>
    <w:p>
      <w:pPr>
        <w:jc w:val="both"/>
      </w:pPr>
      <w:r>
        <w:rPr/>
        <w:t xml:space="preserve"/>
      </w:r>
    </w:p>
    <w:p>
      <w:pPr>
        <w:jc w:val="both"/>
      </w:pPr>
      <w:r>
        <w:rPr/>
        <w:t xml:space="preserve">最后，该文章没有充分考虑到可能存在的风险和不确定性。例如，在中国股市中，政策变化和政治风险等因素可能对股票价格产生重要影响。如果这些风险被忽略或未能得到充分控制，那么文章所得出的结论就可能存在一定的偏差。</w:t>
      </w:r>
    </w:p>
    <w:p>
      <w:pPr>
        <w:jc w:val="both"/>
      </w:pPr>
      <w:r>
        <w:rPr/>
        <w:t xml:space="preserve"/>
      </w:r>
    </w:p>
    <w:p>
      <w:pPr>
        <w:jc w:val="both"/>
      </w:pPr>
      <w:r>
        <w:rPr/>
        <w:t xml:space="preserve">总之，尽管该文章在方法和数据方面较为严谨，但其结果解释和讨论中存在一些潜在的偏见和局限性。为了更好地理解股票波动率的形成机制，并提高预测准确度，需要进一步深入研究各种因素之间的相互作用关系。</w:t>
      </w:r>
    </w:p>
    <w:p>
      <w:pPr>
        <w:pStyle w:val="Heading1"/>
      </w:pPr>
      <w:bookmarkStart w:id="5" w:name="_Toc5"/>
      <w:r>
        <w:t>Topics for further research:</w:t>
      </w:r>
      <w:bookmarkEnd w:id="5"/>
    </w:p>
    <w:p>
      <w:pPr>
        <w:spacing w:after="0"/>
        <w:numPr>
          <w:ilvl w:val="0"/>
          <w:numId w:val="2"/>
        </w:numPr>
      </w:pPr>
      <w:r>
        <w:rPr/>
        <w:t xml:space="preserve">Other factors affecting stock volatility
</w:t>
      </w:r>
    </w:p>
    <w:p>
      <w:pPr>
        <w:spacing w:after="0"/>
        <w:numPr>
          <w:ilvl w:val="0"/>
          <w:numId w:val="2"/>
        </w:numPr>
      </w:pPr>
      <w:r>
        <w:rPr/>
        <w:t xml:space="preserve">Complexity of economic policy uncertainty
</w:t>
      </w:r>
    </w:p>
    <w:p>
      <w:pPr>
        <w:spacing w:after="0"/>
        <w:numPr>
          <w:ilvl w:val="0"/>
          <w:numId w:val="2"/>
        </w:numPr>
      </w:pPr>
      <w:r>
        <w:rPr/>
        <w:t xml:space="preserve">Multiple factors influencing stock volatility
</w:t>
      </w:r>
    </w:p>
    <w:p>
      <w:pPr>
        <w:spacing w:after="0"/>
        <w:numPr>
          <w:ilvl w:val="0"/>
          <w:numId w:val="2"/>
        </w:numPr>
      </w:pPr>
      <w:r>
        <w:rPr/>
        <w:t xml:space="preserve">Risks and uncertainties in stock market
</w:t>
      </w:r>
    </w:p>
    <w:p>
      <w:pPr>
        <w:spacing w:after="0"/>
        <w:numPr>
          <w:ilvl w:val="0"/>
          <w:numId w:val="2"/>
        </w:numPr>
      </w:pPr>
      <w:r>
        <w:rPr/>
        <w:t xml:space="preserve">Limitations of the study
</w:t>
      </w:r>
    </w:p>
    <w:p>
      <w:pPr>
        <w:numPr>
          <w:ilvl w:val="0"/>
          <w:numId w:val="2"/>
        </w:numPr>
      </w:pPr>
      <w:r>
        <w:rPr/>
        <w:t xml:space="preserve">Interactions between various factors influencing stock volatility</w:t>
      </w:r>
    </w:p>
    <w:p>
      <w:pPr>
        <w:pStyle w:val="Heading1"/>
      </w:pPr>
      <w:bookmarkStart w:id="6" w:name="_Toc6"/>
      <w:r>
        <w:t>Report location:</w:t>
      </w:r>
      <w:bookmarkEnd w:id="6"/>
    </w:p>
    <w:p>
      <w:hyperlink r:id="rId8" w:history="1">
        <w:r>
          <w:rPr>
            <w:color w:val="2980b9"/>
            <w:u w:val="single"/>
          </w:rPr>
          <w:t xml:space="preserve">https://www.fullpicture.app/item/f91de7a340688495048e7d6b172da2f8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26C4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6a6c7576706e6973746865676f6f642146ab1ccab988c2a628982887fb4b0f3fca7e3a30a5/science/article/pii/S0378437121000662?via%3Dihub=" TargetMode="External"/><Relationship Id="rId8" Type="http://schemas.openxmlformats.org/officeDocument/2006/relationships/hyperlink" Target="https://www.fullpicture.app/item/f91de7a340688495048e7d6b172da2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2023-12-10T08:49:57+01:00</dcterms:created>
  <dcterms:modified xsi:type="dcterms:W3CDTF">2023-12-10T08:49:57+01:00</dcterms:modified>
</cp:coreProperties>
</file>

<file path=docProps/custom.xml><?xml version="1.0" encoding="utf-8"?>
<Properties xmlns="http://schemas.openxmlformats.org/officeDocument/2006/custom-properties" xmlns:vt="http://schemas.openxmlformats.org/officeDocument/2006/docPropsVTypes"/>
</file>