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Exogenous carbon turnover within the soil food web strengthens soil carbon sequestration through microbial necromass accumulation - Kou - Global Change Biology - Wiley Online Library</w:t>
      </w:r>
      <w:br/>
      <w:hyperlink r:id="rId7" w:history="1">
        <w:r>
          <w:rPr>
            <w:color w:val="2980b9"/>
            <w:u w:val="single"/>
          </w:rPr>
          <w:t xml:space="preserve">https://onlinelibrary.wiley.com/doi/10.1111/gcb.16749</w:t>
        </w:r>
      </w:hyperlink>
    </w:p>
    <w:p>
      <w:pPr>
        <w:pStyle w:val="Heading1"/>
      </w:pPr>
      <w:bookmarkStart w:id="2" w:name="_Toc2"/>
      <w:r>
        <w:t>Article summary:</w:t>
      </w:r>
      <w:bookmarkEnd w:id="2"/>
    </w:p>
    <w:p>
      <w:pPr>
        <w:jc w:val="both"/>
      </w:pPr>
      <w:r>
        <w:rPr/>
        <w:t xml:space="preserve">1. 土壤食物网对土壤有机碳的转化和稳定过程具有重要影响，通过调节外源碳输入的周转和介导微生物死亡物质的积累来促进土壤碳固定。</w:t>
      </w:r>
    </w:p>
    <w:p>
      <w:pPr>
        <w:jc w:val="both"/>
      </w:pPr>
      <w:r>
        <w:rPr/>
        <w:t xml:space="preserve">2. 土壤动物作为“临时储存容器”，间接影响了土壤有机碳的转化过程，并通过摄食土壤微生物来介导SOC固定。</w:t>
      </w:r>
    </w:p>
    <w:p>
      <w:pPr>
        <w:jc w:val="both"/>
      </w:pPr>
      <w:r>
        <w:rPr/>
        <w:t xml:space="preserve">3. 土壤生物群落既是SOC循环的驱动因素，也是贡献者，其中32.0％的外源碳以微生物死亡物质形式稳定为“新”碳。此外，由土壤食物网推动的“更新效应”促进了SOC更加稳定。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由于这篇文章是一篇研究论文，其内容相对客观和科学。然而，我们可以注意到一些可能存在的偏见和局限性。</w:t>
      </w:r>
    </w:p>
    <w:p>
      <w:pPr>
        <w:jc w:val="both"/>
      </w:pPr>
      <w:r>
        <w:rPr/>
        <w:t xml:space="preserve"/>
      </w:r>
    </w:p>
    <w:p>
      <w:pPr>
        <w:jc w:val="both"/>
      </w:pPr>
      <w:r>
        <w:rPr/>
        <w:t xml:space="preserve">首先，该研究只涉及了一个特定的实验条件，即13C标记稻草在11年无耕作土壤中的转化和固碳过程。因此，该研究结果可能不适用于其他土壤类型或管理方式下的情况。</w:t>
      </w:r>
    </w:p>
    <w:p>
      <w:pPr>
        <w:jc w:val="both"/>
      </w:pPr>
      <w:r>
        <w:rPr/>
        <w:t xml:space="preserve"/>
      </w:r>
    </w:p>
    <w:p>
      <w:pPr>
        <w:jc w:val="both"/>
      </w:pPr>
      <w:r>
        <w:rPr/>
        <w:t xml:space="preserve">其次，在文章中提到了“soil fauna”作为“temporary storage container”，但并没有详细说明这些生物是如何影响土壤有机碳转化和固碳过程的。此外，该研究也没有考虑到不同种类和数量的土壤动物对土壤有机碳固存的影响。</w:t>
      </w:r>
    </w:p>
    <w:p>
      <w:pPr>
        <w:jc w:val="both"/>
      </w:pPr>
      <w:r>
        <w:rPr/>
        <w:t xml:space="preserve"/>
      </w:r>
    </w:p>
    <w:p>
      <w:pPr>
        <w:jc w:val="both"/>
      </w:pPr>
      <w:r>
        <w:rPr/>
        <w:t xml:space="preserve">另外，该研究强调了微生物死亡产物（microbial necromass）在土壤有机碳稳定中的重要性，并认为32.0%的外源性碳被稳定为新碳。然而，这个数字是否普遍适用于其他环境条件下仍需进一步验证。</w:t>
      </w:r>
    </w:p>
    <w:p>
      <w:pPr>
        <w:jc w:val="both"/>
      </w:pPr>
      <w:r>
        <w:rPr/>
        <w:t xml:space="preserve"/>
      </w:r>
    </w:p>
    <w:p>
      <w:pPr>
        <w:jc w:val="both"/>
      </w:pPr>
      <w:r>
        <w:rPr/>
        <w:t xml:space="preserve">最后，在文章中并未探讨与该研究相关的风险或潜在问题。例如，在实践中推广无耕作技术是否会导致其他环境问题，如土壤侵蚀或水资源污染等。</w:t>
      </w:r>
    </w:p>
    <w:p>
      <w:pPr>
        <w:jc w:val="both"/>
      </w:pPr>
      <w:r>
        <w:rPr/>
        <w:t xml:space="preserve"/>
      </w:r>
    </w:p>
    <w:p>
      <w:pPr>
        <w:jc w:val="both"/>
      </w:pPr>
      <w:r>
        <w:rPr/>
        <w:t xml:space="preserve">总之，虽然该研究提供了有关土壤食物网对土壤有机碳固存的新见解，但仍需要更多的研究来验证其普适性和实际应用价值。同时，在推广相关技术时也需要考虑到可能存在的风险和局限性。</w:t>
      </w:r>
    </w:p>
    <w:p>
      <w:pPr>
        <w:pStyle w:val="Heading1"/>
      </w:pPr>
      <w:bookmarkStart w:id="5" w:name="_Toc5"/>
      <w:r>
        <w:t>Topics for further research:</w:t>
      </w:r>
      <w:bookmarkEnd w:id="5"/>
    </w:p>
    <w:p>
      <w:pPr>
        <w:spacing w:after="0"/>
        <w:numPr>
          <w:ilvl w:val="0"/>
          <w:numId w:val="2"/>
        </w:numPr>
      </w:pPr>
      <w:r>
        <w:rPr/>
        <w:t xml:space="preserve">Soil types and management practices
</w:t>
      </w:r>
    </w:p>
    <w:p>
      <w:pPr>
        <w:spacing w:after="0"/>
        <w:numPr>
          <w:ilvl w:val="0"/>
          <w:numId w:val="2"/>
        </w:numPr>
      </w:pPr>
      <w:r>
        <w:rPr/>
        <w:t xml:space="preserve">Role of soil fauna in soil organic carbon transformation and sequestration
</w:t>
      </w:r>
    </w:p>
    <w:p>
      <w:pPr>
        <w:spacing w:after="0"/>
        <w:numPr>
          <w:ilvl w:val="0"/>
          <w:numId w:val="2"/>
        </w:numPr>
      </w:pPr>
      <w:r>
        <w:rPr/>
        <w:t xml:space="preserve">Impact of different types and quantities of soil animals on soil organic carbon storage
</w:t>
      </w:r>
    </w:p>
    <w:p>
      <w:pPr>
        <w:spacing w:after="0"/>
        <w:numPr>
          <w:ilvl w:val="0"/>
          <w:numId w:val="2"/>
        </w:numPr>
      </w:pPr>
      <w:r>
        <w:rPr/>
        <w:t xml:space="preserve">Verification of the applicability of microbial necromass in soil organic carbon stabilization
</w:t>
      </w:r>
    </w:p>
    <w:p>
      <w:pPr>
        <w:spacing w:after="0"/>
        <w:numPr>
          <w:ilvl w:val="0"/>
          <w:numId w:val="2"/>
        </w:numPr>
      </w:pPr>
      <w:r>
        <w:rPr/>
        <w:t xml:space="preserve">Risks and potential issues associated with promoting no-till techniques
</w:t>
      </w:r>
    </w:p>
    <w:p>
      <w:pPr>
        <w:numPr>
          <w:ilvl w:val="0"/>
          <w:numId w:val="2"/>
        </w:numPr>
      </w:pPr>
      <w:r>
        <w:rPr/>
        <w:t xml:space="preserve">Further research needed to validate the universality and practical value of the study</w:t>
      </w:r>
    </w:p>
    <w:p>
      <w:pPr>
        <w:pStyle w:val="Heading1"/>
      </w:pPr>
      <w:bookmarkStart w:id="6" w:name="_Toc6"/>
      <w:r>
        <w:t>Report location:</w:t>
      </w:r>
      <w:bookmarkEnd w:id="6"/>
    </w:p>
    <w:p>
      <w:hyperlink r:id="rId8" w:history="1">
        <w:r>
          <w:rPr>
            <w:color w:val="2980b9"/>
            <w:u w:val="single"/>
          </w:rPr>
          <w:t xml:space="preserve">https://www.fullpicture.app/item/f80980359c710528b502e0a8f8bcdbeb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4A4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gcb.16749" TargetMode="External"/><Relationship Id="rId8" Type="http://schemas.openxmlformats.org/officeDocument/2006/relationships/hyperlink" Target="https://www.fullpicture.app/item/f80980359c710528b502e0a8f8bcd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2023-12-21T15:54:25+01:00</dcterms:created>
  <dcterms:modified xsi:type="dcterms:W3CDTF">2023-12-21T15:54:25+01:00</dcterms:modified>
</cp:coreProperties>
</file>

<file path=docProps/custom.xml><?xml version="1.0" encoding="utf-8"?>
<Properties xmlns="http://schemas.openxmlformats.org/officeDocument/2006/custom-properties" xmlns:vt="http://schemas.openxmlformats.org/officeDocument/2006/docPropsVTypes"/>
</file>