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SG Markets</w:t>
      </w:r>
      <w:br/>
      <w:hyperlink r:id="rId7" w:history="1">
        <w:r>
          <w:rPr>
            <w:color w:val="2980b9"/>
            <w:u w:val="single"/>
          </w:rPr>
          <w:t xml:space="preserve">https://insight.sgmarkets.com/publication/300216</w:t>
        </w:r>
      </w:hyperlink>
    </w:p>
    <w:p>
      <w:pPr>
        <w:pStyle w:val="Heading1"/>
      </w:pPr>
      <w:bookmarkStart w:id="2" w:name="_Toc2"/>
      <w:r>
        <w:t>Article summary:</w:t>
      </w:r>
      <w:bookmarkEnd w:id="2"/>
    </w:p>
    <w:p>
      <w:pPr>
        <w:jc w:val="both"/>
      </w:pPr>
      <w:r>
        <w:rPr/>
        <w:t xml:space="preserve">1. The euro area economy has shown resilience to shocks such as inflation, supply chain disruptions, and the energy crisis, with demand still exceeding supply.</w:t>
      </w:r>
    </w:p>
    <w:p>
      <w:pPr>
        <w:jc w:val="both"/>
      </w:pPr>
      <w:r>
        <w:rPr/>
        <w:t xml:space="preserve">2. The growth outlook for the next two years is sub-potential with high inflation, leading to stagflation due to a narrowing gap between supply and demand.</w:t>
      </w:r>
    </w:p>
    <w:p>
      <w:pPr>
        <w:jc w:val="both"/>
      </w:pPr>
      <w:r>
        <w:rPr/>
        <w:t xml:space="preserve">3. Monetary policy may see another 25bp hike in July, but reaching the 2% inflation target in a timely manner will be challenging and may keep rates unchanged for longer than expected. Fiscal policy will see gradual tightening with large country divergences.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analysis of the euro area economy's growth outlook, with a focus on stagflation and supply-driven growth. However, there are several potential biases and missing points of consideration in the analysis.</w:t>
      </w:r>
    </w:p>
    <w:p>
      <w:pPr>
        <w:jc w:val="both"/>
      </w:pPr>
      <w:r>
        <w:rPr/>
        <w:t xml:space="preserve"/>
      </w:r>
    </w:p>
    <w:p>
      <w:pPr>
        <w:jc w:val="both"/>
      </w:pPr>
      <w:r>
        <w:rPr/>
        <w:t xml:space="preserve">Firstly, the article assumes that demand exceeds supply in many sectors, but it does not provide evidence to support this claim. It also overlooks the possibility that supply chain disruptions and inflation may be limiting production capacity and contributing to sluggish growth.</w:t>
      </w:r>
    </w:p>
    <w:p>
      <w:pPr>
        <w:jc w:val="both"/>
      </w:pPr>
      <w:r>
        <w:rPr/>
        <w:t xml:space="preserve"/>
      </w:r>
    </w:p>
    <w:p>
      <w:pPr>
        <w:jc w:val="both"/>
      </w:pPr>
      <w:r>
        <w:rPr/>
        <w:t xml:space="preserve">Secondly, the article suggests that companies enjoy strong pricing power and elevated profit margins, but it does not consider the impact of rising input costs on profitability. Higher wages and debt service costs could also limit companies' ability to expand production and invest.</w:t>
      </w:r>
    </w:p>
    <w:p>
      <w:pPr>
        <w:jc w:val="both"/>
      </w:pPr>
      <w:r>
        <w:rPr/>
        <w:t xml:space="preserve"/>
      </w:r>
    </w:p>
    <w:p>
      <w:pPr>
        <w:jc w:val="both"/>
      </w:pPr>
      <w:r>
        <w:rPr/>
        <w:t xml:space="preserve">Thirdly, the article predicts high inflation for the next two years without considering potential factors that could mitigate inflationary pressures. For example, if energy prices stabilize or fall, this could reduce overall inflation levels.</w:t>
      </w:r>
    </w:p>
    <w:p>
      <w:pPr>
        <w:jc w:val="both"/>
      </w:pPr>
      <w:r>
        <w:rPr/>
        <w:t xml:space="preserve"/>
      </w:r>
    </w:p>
    <w:p>
      <w:pPr>
        <w:jc w:val="both"/>
      </w:pPr>
      <w:r>
        <w:rPr/>
        <w:t xml:space="preserve">Fourthly, the article presents a one-sided view of monetary policy by focusing solely on potential rate hikes. It does not consider alternative policies such as quantitative easing or forward guidance.</w:t>
      </w:r>
    </w:p>
    <w:p>
      <w:pPr>
        <w:jc w:val="both"/>
      </w:pPr>
      <w:r>
        <w:rPr/>
        <w:t xml:space="preserve"/>
      </w:r>
    </w:p>
    <w:p>
      <w:pPr>
        <w:jc w:val="both"/>
      </w:pPr>
      <w:r>
        <w:rPr/>
        <w:t xml:space="preserve">Finally, while the article notes potential risks such as government debt levels and country-specific challenges in France, Italy, Belgium, and Spain, it does not explore counterarguments or present both sides equally.</w:t>
      </w:r>
    </w:p>
    <w:p>
      <w:pPr>
        <w:jc w:val="both"/>
      </w:pPr>
      <w:r>
        <w:rPr/>
        <w:t xml:space="preserve"/>
      </w:r>
    </w:p>
    <w:p>
      <w:pPr>
        <w:jc w:val="both"/>
      </w:pPr>
      <w:r>
        <w:rPr/>
        <w:t xml:space="preserve">Overall, while the article provides valuable insights into the euro area economy's growth outlook, readers should approach its predictions with caution due to potential biases and missing points of consideration.</w:t>
      </w:r>
    </w:p>
    <w:p>
      <w:pPr>
        <w:pStyle w:val="Heading1"/>
      </w:pPr>
      <w:bookmarkStart w:id="5" w:name="_Toc5"/>
      <w:r>
        <w:t>Topics for further research:</w:t>
      </w:r>
      <w:bookmarkEnd w:id="5"/>
    </w:p>
    <w:p>
      <w:pPr>
        <w:spacing w:after="0"/>
        <w:numPr>
          <w:ilvl w:val="0"/>
          <w:numId w:val="2"/>
        </w:numPr>
      </w:pPr>
      <w:r>
        <w:rPr/>
        <w:t xml:space="preserve">Factors contributing to supply chain disruptions and production capacity limitations in the euro area economy
</w:t>
      </w:r>
    </w:p>
    <w:p>
      <w:pPr>
        <w:spacing w:after="0"/>
        <w:numPr>
          <w:ilvl w:val="0"/>
          <w:numId w:val="2"/>
        </w:numPr>
      </w:pPr>
      <w:r>
        <w:rPr/>
        <w:t xml:space="preserve">Impact of rising input costs on euro area companies' profitability and expansion plans
</w:t>
      </w:r>
    </w:p>
    <w:p>
      <w:pPr>
        <w:spacing w:after="0"/>
        <w:numPr>
          <w:ilvl w:val="0"/>
          <w:numId w:val="2"/>
        </w:numPr>
      </w:pPr>
      <w:r>
        <w:rPr/>
        <w:t xml:space="preserve">Potential factors that could mitigate inflationary pressures in the euro area economy
</w:t>
      </w:r>
    </w:p>
    <w:p>
      <w:pPr>
        <w:spacing w:after="0"/>
        <w:numPr>
          <w:ilvl w:val="0"/>
          <w:numId w:val="2"/>
        </w:numPr>
      </w:pPr>
      <w:r>
        <w:rPr/>
        <w:t xml:space="preserve">Alternative monetary policies to rate hikes in the euro area economy
</w:t>
      </w:r>
    </w:p>
    <w:p>
      <w:pPr>
        <w:spacing w:after="0"/>
        <w:numPr>
          <w:ilvl w:val="0"/>
          <w:numId w:val="2"/>
        </w:numPr>
      </w:pPr>
      <w:r>
        <w:rPr/>
        <w:t xml:space="preserve">Counterarguments to potential risks in the euro area economy</w:t>
      </w:r>
    </w:p>
    <w:p>
      <w:pPr>
        <w:spacing w:after="0"/>
        <w:numPr>
          <w:ilvl w:val="0"/>
          <w:numId w:val="2"/>
        </w:numPr>
      </w:pPr>
      <w:r>
        <w:rPr/>
        <w:t xml:space="preserve">such as government debt levels and country-specific challenges
</w:t>
      </w:r>
    </w:p>
    <w:p>
      <w:pPr>
        <w:numPr>
          <w:ilvl w:val="0"/>
          <w:numId w:val="2"/>
        </w:numPr>
      </w:pPr>
      <w:r>
        <w:rPr/>
        <w:t xml:space="preserve">Analysis of the euro area economy's growth outlook from multiple sources to gain a more comprehensive understanding.</w:t>
      </w:r>
    </w:p>
    <w:p>
      <w:pPr>
        <w:pStyle w:val="Heading1"/>
      </w:pPr>
      <w:bookmarkStart w:id="6" w:name="_Toc6"/>
      <w:r>
        <w:t>Report location:</w:t>
      </w:r>
      <w:bookmarkEnd w:id="6"/>
    </w:p>
    <w:p>
      <w:hyperlink r:id="rId8" w:history="1">
        <w:r>
          <w:rPr>
            <w:color w:val="2980b9"/>
            <w:u w:val="single"/>
          </w:rPr>
          <w:t xml:space="preserve">https://www.fullpicture.app/item/f68baf15b9e74702fabb345350366132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45F3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ight.sgmarkets.com/publication/300216" TargetMode="External"/><Relationship Id="rId8" Type="http://schemas.openxmlformats.org/officeDocument/2006/relationships/hyperlink" Target="https://www.fullpicture.app/item/f68baf15b9e74702fabb3453503661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2023-06-26T10:20:50+02:00</dcterms:created>
  <dcterms:modified xsi:type="dcterms:W3CDTF">2023-06-26T10:20:50+02:00</dcterms:modified>
</cp:coreProperties>
</file>

<file path=docProps/custom.xml><?xml version="1.0" encoding="utf-8"?>
<Properties xmlns="http://schemas.openxmlformats.org/officeDocument/2006/custom-properties" xmlns:vt="http://schemas.openxmlformats.org/officeDocument/2006/docPropsVTypes"/>
</file>