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“变”与“不变”:后扶贫时代民族地区“一村一幼”政策的生成逻辑——以四川凉山彝区为例</w:t></w:r><w:br/><w:hyperlink r:id="rId7" w:history="1"><w:r><w:rPr><w:color w:val="2980b9"/><w:u w:val="single"/></w:rPr><w:t xml:space="preserve">http://qikan.cqvip.com/Qikan/Article/ReadIndex?id=7108076260&info=GE80nZaTQ3uXThqQQU4g8McE6FPFvYckjSFhYyfguEF0lRYp7smN6A%3D%3D</w:t></w:r></w:hyperlink></w:p><w:p><w:pPr><w:pStyle w:val="Heading1"/></w:pPr><w:bookmarkStart w:id="2" w:name="_Toc2"/><w:r><w:t>Article summary:</w:t></w:r><w:bookmarkEnd w:id="2"/></w:p><w:p><w:pPr><w:jc w:val="both"/></w:pPr><w:r><w:rPr/><w:t xml:space="preserve">1. 民族地区“一村一幼”政策的生成逻辑包括权利保障体系、资源配置体系和宏观政策规则体系三个相互嵌套的结构层次，并以免费教育、村办教育、政府购买服务三项制度为支撑。</w:t></w:r></w:p><w:p><w:pPr><w:jc w:val="both"/></w:pPr><w:r><w:rPr/><w:t xml:space="preserve">2. 后扶贫时代在乡村振兴战略下，民族地区“一村一幼”政策的生成逻辑应该在保持原有的农村学前教育三项制度不变的同时，力求在农村学前教育人文关怀中心化、承办主体多元化和公私合作模式多样化等方面获得突破，从而促进农村学前教育的城乡一体化建设。</w:t></w:r></w:p><w:p><w:pPr><w:jc w:val="both"/></w:pPr><w:r><w:rPr/><w:t xml:space="preserve">3. “一村一幼”政策源于四川省委十届六次全会作出的在民族地区实施15年免费教育的重大决策，并在《关于支持大小凉山彝区深入推进扶贫攻坚加快建设全面小康社会进程的意见》中首次提出。</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很遗憾，由于缺少文章内容，我无法对其进行详细的批判性分析。请提供完整的文章内容以便我能够为您提供更好的帮助。</w:t></w:r></w:p><w:p><w:pPr><w:pStyle w:val="Heading1"/></w:pPr><w:bookmarkStart w:id="5" w:name="_Toc5"/><w:r><w:t>Topics for further research:</w:t></w:r><w:bookmarkEnd w:id="5"/></w:p><w:p><w:pPr><w:spacing w:after="0"/><w:numPr><w:ilvl w:val="0"/><w:numId w:val="2"/></w:numPr></w:pPr><w:r><w:rPr/><w:t xml:space="preserve">What is the topic of the article?
</w:t></w:r></w:p><w:p><w:pPr><w:spacing w:after="0"/><w:numPr><w:ilvl w:val="0"/><w:numId w:val="2"/></w:numPr></w:pPr><w:r><w:rPr/><w:t xml:space="preserve">What are the main points or arguments presented in the article?
</w:t></w:r></w:p><w:p><w:pPr><w:spacing w:after="0"/><w:numPr><w:ilvl w:val="0"/><w:numId w:val="2"/></w:numPr></w:pPr><w:r><w:rPr/><w:t xml:space="preserve">What evidence or examples are used to support these points?
</w:t></w:r></w:p><w:p><w:pPr><w:spacing w:after="0"/><w:numPr><w:ilvl w:val="0"/><w:numId w:val="2"/></w:numPr></w:pPr><w:r><w:rPr/><w:t xml:space="preserve">What are the potential implications or consequences of the ideas presented in the article?
</w:t></w:r></w:p><w:p><w:pPr><w:spacing w:after="0"/><w:numPr><w:ilvl w:val="0"/><w:numId w:val="2"/></w:numPr></w:pPr><w:r><w:rPr/><w:t xml:space="preserve">Are there any counterarguments or alternative perspectives that should be considered?
</w:t></w:r></w:p><w:p><w:pPr><w:spacing w:after="0"/><w:numPr><w:ilvl w:val="0"/><w:numId w:val="2"/></w:numPr></w:pPr><w:r><w:rPr/><w:t xml:space="preserve">What are the author's biases or assumptions</w:t></w:r></w:p><w:p><w:pPr><w:numPr><w:ilvl w:val="0"/><w:numId w:val="2"/></w:numPr></w:pPr><w:r><w:rPr/><w:t xml:space="preserve">and how do they affect the article's overall message?</w:t></w:r></w:p><w:p><w:pPr><w:pStyle w:val="Heading1"/></w:pPr><w:bookmarkStart w:id="6" w:name="_Toc6"/><w:r><w:t>Report location:</w:t></w:r><w:bookmarkEnd w:id="6"/></w:p><w:p><w:hyperlink r:id="rId8" w:history="1"><w:r><w:rPr><w:color w:val="2980b9"/><w:u w:val="single"/></w:rPr><w:t xml:space="preserve">https://www.fullpicture.app/item/f41a1469ca7f25b0aa5ca984159fb564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BED2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8076260&amp;info=GE80nZaTQ3uXThqQQU4g8McE6FPFvYckjSFhYyfguEF0lRYp7smN6A%3D%3D" TargetMode="External"/><Relationship Id="rId8" Type="http://schemas.openxmlformats.org/officeDocument/2006/relationships/hyperlink" Target="https://www.fullpicture.app/item/f41a1469ca7f25b0aa5ca984159fb5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2024-01-13T22:00:10+01:00</dcterms:created>
  <dcterms:modified xsi:type="dcterms:W3CDTF">2024-01-13T22:00:10+01:00</dcterms:modified>
</cp:coreProperties>
</file>

<file path=docProps/custom.xml><?xml version="1.0" encoding="utf-8"?>
<Properties xmlns="http://schemas.openxmlformats.org/officeDocument/2006/custom-properties" xmlns:vt="http://schemas.openxmlformats.org/officeDocument/2006/docPropsVTypes"/>
</file>