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 THE HIGH COURT OF SINDH AT KARACHI</w:t>
      </w:r>
      <w:br/>
      <w:hyperlink r:id="rId7" w:history="1">
        <w:r>
          <w:rPr>
            <w:color w:val="2980b9"/>
            <w:u w:val="single"/>
          </w:rPr>
          <w:t xml:space="preserve">https://caselaw.shc.gov.pk/caselaw/view-file/MTA0Nzg1Y2Ztcy1kYzgz</w:t>
        </w:r>
      </w:hyperlink>
    </w:p>
    <w:p>
      <w:pPr>
        <w:pStyle w:val="Heading1"/>
      </w:pPr>
      <w:bookmarkStart w:id="2" w:name="_Toc2"/>
      <w:r>
        <w:t>Article summary:</w:t>
      </w:r>
      <w:bookmarkEnd w:id="2"/>
    </w:p>
    <w:p>
      <w:pPr>
        <w:jc w:val="both"/>
      </w:pPr>
      <w:r>
        <w:rPr/>
        <w:t xml:space="preserve">1. The plaintiff filed a suit for Specific Performance, Declaration, and Injunction &amp; Damages regarding the purchase of offices in Karachi.</w:t>
      </w:r>
    </w:p>
    <w:p>
      <w:pPr>
        <w:jc w:val="both"/>
      </w:pPr>
      <w:r>
        <w:rPr/>
        <w:t xml:space="preserve"/>
      </w:r>
    </w:p>
    <w:p>
      <w:pPr>
        <w:jc w:val="both"/>
      </w:pPr>
      <w:r>
        <w:rPr/>
        <w:t xml:space="preserve">2. The defendants failed to provide necessary documents and eventually terminated the verbal agreement, leading to a legal dispute over the earnest money paid by the plaintiff.</w:t>
      </w:r>
    </w:p>
    <w:p>
      <w:pPr>
        <w:jc w:val="both"/>
      </w:pPr>
      <w:r>
        <w:rPr/>
        <w:t xml:space="preserve"/>
      </w:r>
    </w:p>
    <w:p>
      <w:pPr>
        <w:jc w:val="both"/>
      </w:pPr>
      <w:r>
        <w:rPr/>
        <w:t xml:space="preserve">3. The High Court of Sindh at Karachi heard arguments from both parties and referred to Section 65 of the Contract Act in deciding whether the defendants should return the earnest money or compensate the plaintiff.</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detailed account of a legal case in the High Court of Sindh at Karachi, involving a dispute between the plaintiff, Mirza Shakir Baig, and the defendants, Miss Iffat Chughtai and others. The plaintiff filed a suit for Specific Performance, Declaration, Injunction &amp; Damages related to the purchase of certain properties from the defendants. The article outlines the prayers made by the plaintiff and the responses from both parties.</w:t>
      </w:r>
    </w:p>
    <w:p>
      <w:pPr>
        <w:jc w:val="both"/>
      </w:pPr>
      <w:r>
        <w:rPr/>
        <w:t xml:space="preserve"/>
      </w:r>
    </w:p>
    <w:p>
      <w:pPr>
        <w:jc w:val="both"/>
      </w:pPr>
      <w:r>
        <w:rPr/>
        <w:t xml:space="preserve">One potential bias in the article is that it primarily presents the arguments and claims made by the plaintiff without giving equal weight to the defense presented by the defendants. The article focuses on the plaintiff's allegations of fraud and non-compliance by the defendants, but does not delve deeply into their side of the story or their legal arguments. This one-sided reporting could lead to a skewed understanding of the case for readers.</w:t>
      </w:r>
    </w:p>
    <w:p>
      <w:pPr>
        <w:jc w:val="both"/>
      </w:pPr>
      <w:r>
        <w:rPr/>
        <w:t xml:space="preserve"/>
      </w:r>
    </w:p>
    <w:p>
      <w:pPr>
        <w:jc w:val="both"/>
      </w:pPr>
      <w:r>
        <w:rPr/>
        <w:t xml:space="preserve">Additionally, there are unsupported claims made in the article, such as when it states that defendants committed fraud without providing concrete evidence or legal analysis to support this assertion. The article also lacks exploration of counterarguments that may have been raised by the defendants or other legal perspectives that could provide a more comprehensive view of the case.</w:t>
      </w:r>
    </w:p>
    <w:p>
      <w:pPr>
        <w:jc w:val="both"/>
      </w:pPr>
      <w:r>
        <w:rPr/>
        <w:t xml:space="preserve"/>
      </w:r>
    </w:p>
    <w:p>
      <w:pPr>
        <w:jc w:val="both"/>
      </w:pPr>
      <w:r>
        <w:rPr/>
        <w:t xml:space="preserve">Furthermore, there are missing points of consideration in the article, such as a detailed analysis of relevant laws or precedents that could impact the outcome of this case. Legal cases often involve complex legal principles and nuances that require thorough examination to fully understand all aspects of the dispute.</w:t>
      </w:r>
    </w:p>
    <w:p>
      <w:pPr>
        <w:jc w:val="both"/>
      </w:pPr>
      <w:r>
        <w:rPr/>
        <w:t xml:space="preserve"/>
      </w:r>
    </w:p>
    <w:p>
      <w:pPr>
        <w:jc w:val="both"/>
      </w:pPr>
      <w:r>
        <w:rPr/>
        <w:t xml:space="preserve">The article also lacks evidence for some of its claims, such as when it mentions damages suffered by the plaintiff without providing specific details or supporting documentation. Providing more concrete evidence and factual information would enhance the credibility and depth of analysis in this legal case report.</w:t>
      </w:r>
    </w:p>
    <w:p>
      <w:pPr>
        <w:jc w:val="both"/>
      </w:pPr>
      <w:r>
        <w:rPr/>
        <w:t xml:space="preserve"/>
      </w:r>
    </w:p>
    <w:p>
      <w:pPr>
        <w:jc w:val="both"/>
      </w:pPr>
      <w:r>
        <w:rPr/>
        <w:t xml:space="preserve">Overall, while providing a detailed account of a legal dispute in court, this article could benefit from presenting both sides equally, exploring counterarguments, providing more evidence for claims made, and offering a more balanced perspective on complex legal issues. By addressing these areas, readers can gain a more nuanced understanding of this case and its potential implications.</w:t>
      </w:r>
    </w:p>
    <w:p>
      <w:pPr>
        <w:pStyle w:val="Heading1"/>
      </w:pPr>
      <w:bookmarkStart w:id="5" w:name="_Toc5"/>
      <w:r>
        <w:t>Topics for further research:</w:t>
      </w:r>
      <w:bookmarkEnd w:id="5"/>
    </w:p>
    <w:p>
      <w:pPr>
        <w:spacing w:after="0"/>
        <w:numPr>
          <w:ilvl w:val="0"/>
          <w:numId w:val="2"/>
        </w:numPr>
      </w:pPr>
      <w:r>
        <w:rPr/>
        <w:t xml:space="preserve">Legal principles of Specific Performance in property disputes
</w:t>
      </w:r>
    </w:p>
    <w:p>
      <w:pPr>
        <w:spacing w:after="0"/>
        <w:numPr>
          <w:ilvl w:val="0"/>
          <w:numId w:val="2"/>
        </w:numPr>
      </w:pPr>
      <w:r>
        <w:rPr/>
        <w:t xml:space="preserve">Defenses against allegations of fraud in property transactions
</w:t>
      </w:r>
    </w:p>
    <w:p>
      <w:pPr>
        <w:spacing w:after="0"/>
        <w:numPr>
          <w:ilvl w:val="0"/>
          <w:numId w:val="2"/>
        </w:numPr>
      </w:pPr>
      <w:r>
        <w:rPr/>
        <w:t xml:space="preserve">Precedents for cases involving non-compliance in property sales
</w:t>
      </w:r>
    </w:p>
    <w:p>
      <w:pPr>
        <w:spacing w:after="0"/>
        <w:numPr>
          <w:ilvl w:val="0"/>
          <w:numId w:val="2"/>
        </w:numPr>
      </w:pPr>
      <w:r>
        <w:rPr/>
        <w:t xml:space="preserve">Legal requirements for proving damages in property disputes
</w:t>
      </w:r>
    </w:p>
    <w:p>
      <w:pPr>
        <w:spacing w:after="0"/>
        <w:numPr>
          <w:ilvl w:val="0"/>
          <w:numId w:val="2"/>
        </w:numPr>
      </w:pPr>
      <w:r>
        <w:rPr/>
        <w:t xml:space="preserve">Impact of relevant laws on property purchase agreements in Pakistan
</w:t>
      </w:r>
    </w:p>
    <w:p>
      <w:pPr>
        <w:numPr>
          <w:ilvl w:val="0"/>
          <w:numId w:val="2"/>
        </w:numPr>
      </w:pPr>
      <w:r>
        <w:rPr/>
        <w:t xml:space="preserve">Analysis of Injunctions in property disputes in the High Court of Sindh</w:t>
      </w:r>
    </w:p>
    <w:p>
      <w:pPr>
        <w:pStyle w:val="Heading1"/>
      </w:pPr>
      <w:bookmarkStart w:id="6" w:name="_Toc6"/>
      <w:r>
        <w:t>Report location:</w:t>
      </w:r>
      <w:bookmarkEnd w:id="6"/>
    </w:p>
    <w:p>
      <w:hyperlink r:id="rId8" w:history="1">
        <w:r>
          <w:rPr>
            <w:color w:val="2980b9"/>
            <w:u w:val="single"/>
          </w:rPr>
          <w:t xml:space="preserve">https://www.fullpicture.app/item/f2e7b93c073b0a1518b0f8b4b4d0ee42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B60F5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selaw.shc.gov.pk/caselaw/view-file/MTA0Nzg1Y2Ztcy1kYzgz" TargetMode="External"/><Relationship Id="rId8" Type="http://schemas.openxmlformats.org/officeDocument/2006/relationships/hyperlink" Target="https://www.fullpicture.app/item/f2e7b93c073b0a1518b0f8b4b4d0ee4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2024-06-07T13:37:35+02:00</dcterms:created>
  <dcterms:modified xsi:type="dcterms:W3CDTF">2024-06-07T13:37:35+02:00</dcterms:modified>
</cp:coreProperties>
</file>

<file path=docProps/custom.xml><?xml version="1.0" encoding="utf-8"?>
<Properties xmlns="http://schemas.openxmlformats.org/officeDocument/2006/custom-properties" xmlns:vt="http://schemas.openxmlformats.org/officeDocument/2006/docPropsVTypes"/>
</file>