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IgA 肾病：核心课程 2021 - 美国肾脏疾病杂志</w:t>
      </w:r>
      <w:br/>
      <w:hyperlink r:id="rId7" w:history="1">
        <w:r>
          <w:rPr>
            <w:color w:val="2980b9"/>
            <w:u w:val="single"/>
          </w:rPr>
          <w:t xml:space="preserve">https://www.ajkd.org/article/S0272-6386(21)00598-9/fulltext</w:t>
        </w:r>
      </w:hyperlink>
    </w:p>
    <w:p>
      <w:pPr>
        <w:pStyle w:val="Heading1"/>
      </w:pPr>
      <w:bookmarkStart w:id="2" w:name="_Toc2"/>
      <w:r>
        <w:t>Article summary:</w:t>
      </w:r>
      <w:bookmarkEnd w:id="2"/>
    </w:p>
    <w:p>
      <w:pPr>
        <w:jc w:val="both"/>
      </w:pPr>
      <w:r>
        <w:rPr/>
        <w:t xml:space="preserve">1. IgA肾病（IgAN）是全球最常见的原发性肾小球疾病，其诊断性组织学标志是肾活检显示显性或共显性IgA染色。</w:t>
      </w:r>
    </w:p>
    <w:p>
      <w:pPr>
        <w:jc w:val="both"/>
      </w:pPr>
      <w:r>
        <w:rPr/>
        <w:t xml:space="preserve">2. IgAN的临床表现多样，从无症状异常到急进性肾小球肾炎不等。在线风险计算器可用于预测患者的预后，并与患者进行讨论。</w:t>
      </w:r>
    </w:p>
    <w:p>
      <w:pPr>
        <w:jc w:val="both"/>
      </w:pPr>
      <w:r>
        <w:rPr/>
        <w:t xml:space="preserve">3. 综合支持治疗是IgAN初始治疗的核心，但免疫抑制剂的附加益处仍存在争议。新的治疗选择正在进行的临床试验中评估，包括针对粘膜免疫和补体系统的治疗方法。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偏见来源：文章没有提及作者的背景或利益冲突，这可能导致潜在的偏见。读者无法确定作者是否有与该主题相关的特定立场或利益。</w:t>
      </w:r>
    </w:p>
    <w:p>
      <w:pPr>
        <w:jc w:val="both"/>
      </w:pPr>
      <w:r>
        <w:rPr/>
        <w:t xml:space="preserve"/>
      </w:r>
    </w:p>
    <w:p>
      <w:pPr>
        <w:jc w:val="both"/>
      </w:pPr>
      <w:r>
        <w:rPr/>
        <w:t xml:space="preserve">2. 片面报道：文章似乎只关注了IgA肾病的诊断和治疗方面，而忽略了其他重要方面，如预防措施、流行病学数据和患者教育。这种片面报道可能导致读者对该疾病的整体理解不完整。</w:t>
      </w:r>
    </w:p>
    <w:p>
      <w:pPr>
        <w:jc w:val="both"/>
      </w:pPr>
      <w:r>
        <w:rPr/>
        <w:t xml:space="preserve"/>
      </w:r>
    </w:p>
    <w:p>
      <w:pPr>
        <w:jc w:val="both"/>
      </w:pPr>
      <w:r>
        <w:rPr/>
        <w:t xml:space="preserve">3. 缺失的考虑点：文章没有讨论IgA肾病在不同人群中的发生率差异、遗传因素、环境因素以及与其他疾病（如自身免疫性疾病）之间的关联。这些都是了解该疾病全貌所必需考虑的因素。</w:t>
      </w:r>
    </w:p>
    <w:p>
      <w:pPr>
        <w:jc w:val="both"/>
      </w:pPr>
      <w:r>
        <w:rPr/>
        <w:t xml:space="preserve"/>
      </w:r>
    </w:p>
    <w:p>
      <w:pPr>
        <w:jc w:val="both"/>
      </w:pPr>
      <w:r>
        <w:rPr/>
        <w:t xml:space="preserve">4. 无根据的主张：文章提到使用在线风险计算器来帮助预后并与患者进行讨论，但未提供任何支持此主张的具体证据或参考文献。读者无法确定这种方法是否真正有效或可靠。</w:t>
      </w:r>
    </w:p>
    <w:p>
      <w:pPr>
        <w:jc w:val="both"/>
      </w:pPr>
      <w:r>
        <w:rPr/>
        <w:t xml:space="preserve"/>
      </w:r>
    </w:p>
    <w:p>
      <w:pPr>
        <w:jc w:val="both"/>
      </w:pPr>
      <w:r>
        <w:rPr/>
        <w:t xml:space="preserve">5. 缺失的证据支持：文章提到使用皮质类固醇治疗可以减轻蛋白尿，但没有提供对这种治疗方法的长期益处的具体证据。读者无法确定是否有足够的科学依据来支持这一主张。</w:t>
      </w:r>
    </w:p>
    <w:p>
      <w:pPr>
        <w:jc w:val="both"/>
      </w:pPr>
      <w:r>
        <w:rPr/>
        <w:t xml:space="preserve"/>
      </w:r>
    </w:p>
    <w:p>
      <w:pPr>
        <w:jc w:val="both"/>
      </w:pPr>
      <w:r>
        <w:rPr/>
        <w:t xml:space="preserve">6. 未探索的反驳：文章没有探讨任何可能与所述观点相悖或有争议的观点。这种缺乏平衡可能导致读者对该主题的理解受限。</w:t>
      </w:r>
    </w:p>
    <w:p>
      <w:pPr>
        <w:jc w:val="both"/>
      </w:pPr>
      <w:r>
        <w:rPr/>
        <w:t xml:space="preserve"/>
      </w:r>
    </w:p>
    <w:p>
      <w:pPr>
        <w:jc w:val="both"/>
      </w:pPr>
      <w:r>
        <w:rPr/>
        <w:t xml:space="preserve">7. 宣传内容和偏袒：文章中提到了正在进行的临床试验和新的治疗选择，但未提供关于这些治疗选择优势和劣势的客观评估。这种宣传性内容可能使读者对某些治疗方法过分乐观或误导。</w:t>
      </w:r>
    </w:p>
    <w:p>
      <w:pPr>
        <w:jc w:val="both"/>
      </w:pPr>
      <w:r>
        <w:rPr/>
        <w:t xml:space="preserve"/>
      </w:r>
    </w:p>
    <w:p>
      <w:pPr>
        <w:jc w:val="both"/>
      </w:pPr>
      <w:r>
        <w:rPr/>
        <w:t xml:space="preserve">8. 风险意识不足：文章没有明确提及IgA肾病患者面临的潜在风险，如肾功能恶化、心血管并发症等。这种缺乏风险意识可能导致读者对该疾病严重性和紧迫性的认识不足。</w:t>
      </w:r>
    </w:p>
    <w:p>
      <w:pPr>
        <w:jc w:val="both"/>
      </w:pPr>
      <w:r>
        <w:rPr/>
        <w:t xml:space="preserve"/>
      </w:r>
    </w:p>
    <w:p>
      <w:pPr>
        <w:jc w:val="both"/>
      </w:pPr>
      <w:r>
        <w:rPr/>
        <w:t xml:space="preserve">9. 平等呈现双方：文章似乎只呈现了一种观点，即综合支持治疗是IgA肾病的核心治疗方法。然而，没有提供其他可能的治疗方法或观点，这可能导致读者对该主题的理解受限。</w:t>
      </w:r>
    </w:p>
    <w:p>
      <w:pPr>
        <w:jc w:val="both"/>
      </w:pPr>
      <w:r>
        <w:rPr/>
        <w:t xml:space="preserve"/>
      </w:r>
    </w:p>
    <w:p>
      <w:pPr>
        <w:jc w:val="both"/>
      </w:pPr>
      <w:r>
        <w:rPr/>
        <w:t xml:space="preserve">总体而言，上述文章存在一些潜在的偏见和不足之处。读者应保持批判性思维，并寻找更全面、客观和有根据的信息来了解IgA肾病及其管理。</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预防措施、流行病学数据和患者教育的重要性
</w:t>
      </w:r>
    </w:p>
    <w:p>
      <w:pPr>
        <w:spacing w:after="0"/>
        <w:numPr>
          <w:ilvl w:val="0"/>
          <w:numId w:val="2"/>
        </w:numPr>
      </w:pPr>
      <w:r>
        <w:rPr/>
        <w:t xml:space="preserve">IgA肾病在不同人群中的发生率差异、遗传因素、环境因素以及与其他疾病的关联
</w:t>
      </w:r>
    </w:p>
    <w:p>
      <w:pPr>
        <w:spacing w:after="0"/>
        <w:numPr>
          <w:ilvl w:val="0"/>
          <w:numId w:val="2"/>
        </w:numPr>
      </w:pPr>
      <w:r>
        <w:rPr/>
        <w:t xml:space="preserve">在线风险计算器的有效性和可靠性
</w:t>
      </w:r>
    </w:p>
    <w:p>
      <w:pPr>
        <w:spacing w:after="0"/>
        <w:numPr>
          <w:ilvl w:val="0"/>
          <w:numId w:val="2"/>
        </w:numPr>
      </w:pPr>
      <w:r>
        <w:rPr/>
        <w:t xml:space="preserve">皮质类固醇治疗的长期益处的具体证据
</w:t>
      </w:r>
    </w:p>
    <w:p>
      <w:pPr>
        <w:spacing w:after="0"/>
        <w:numPr>
          <w:ilvl w:val="0"/>
          <w:numId w:val="2"/>
        </w:numPr>
      </w:pPr>
      <w:r>
        <w:rPr/>
        <w:t xml:space="preserve">反驳观点和争议性观点的探讨
</w:t>
      </w:r>
    </w:p>
    <w:p>
      <w:pPr>
        <w:spacing w:after="0"/>
        <w:numPr>
          <w:ilvl w:val="0"/>
          <w:numId w:val="2"/>
        </w:numPr>
      </w:pPr>
      <w:r>
        <w:rPr/>
        <w:t xml:space="preserve">新治疗选择的客观评估
</w:t>
      </w:r>
    </w:p>
    <w:p>
      <w:pPr>
        <w:spacing w:after="0"/>
        <w:numPr>
          <w:ilvl w:val="0"/>
          <w:numId w:val="2"/>
        </w:numPr>
      </w:pPr>
      <w:r>
        <w:rPr/>
        <w:t xml:space="preserve">IgA肾病患者面临的潜在风险
</w:t>
      </w:r>
    </w:p>
    <w:p>
      <w:pPr>
        <w:numPr>
          <w:ilvl w:val="0"/>
          <w:numId w:val="2"/>
        </w:numPr>
      </w:pPr>
      <w:r>
        <w:rPr/>
        <w:t xml:space="preserve">其他可能的治疗方法和观点的呈现</w:t>
      </w:r>
    </w:p>
    <w:p>
      <w:pPr>
        <w:pStyle w:val="Heading1"/>
      </w:pPr>
      <w:bookmarkStart w:id="6" w:name="_Toc6"/>
      <w:r>
        <w:t>Report location:</w:t>
      </w:r>
      <w:bookmarkEnd w:id="6"/>
    </w:p>
    <w:p>
      <w:hyperlink r:id="rId8" w:history="1">
        <w:r>
          <w:rPr>
            <w:color w:val="2980b9"/>
            <w:u w:val="single"/>
          </w:rPr>
          <w:t xml:space="preserve">https://www.fullpicture.app/item/f2e2925fe2bff4b916d4227d272ea44a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2B53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kd.org/article/S0272-6386(21)00598-9/fulltext" TargetMode="External"/><Relationship Id="rId8" Type="http://schemas.openxmlformats.org/officeDocument/2006/relationships/hyperlink" Target="https://www.fullpicture.app/item/f2e2925fe2bff4b916d4227d272ea4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2024-04-03T23:14:45+02:00</dcterms:created>
  <dcterms:modified xsi:type="dcterms:W3CDTF">2024-04-03T23:14:45+02:00</dcterms:modified>
</cp:coreProperties>
</file>

<file path=docProps/custom.xml><?xml version="1.0" encoding="utf-8"?>
<Properties xmlns="http://schemas.openxmlformats.org/officeDocument/2006/custom-properties" xmlns:vt="http://schemas.openxmlformats.org/officeDocument/2006/docPropsVTypes"/>
</file>