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Private credit finds its next big target: investment grade debt | Financial Times</w:t>
      </w:r>
      <w:br/>
      <w:hyperlink r:id="rId7" w:history="1">
        <w:r>
          <w:rPr>
            <w:color w:val="2980b9"/>
            <w:u w:val="single"/>
          </w:rPr>
          <w:t xml:space="preserve">https://www.ft.com/content/271be286-ac12-449e-96f0-0d3ff9b4d6ee</w:t>
        </w:r>
      </w:hyperlink>
    </w:p>
    <w:p>
      <w:pPr>
        <w:pStyle w:val="Heading1"/>
      </w:pPr>
      <w:bookmarkStart w:id="2" w:name="_Toc2"/>
      <w:r>
        <w:t>Article summary:</w:t>
      </w:r>
      <w:bookmarkEnd w:id="2"/>
    </w:p>
    <w:p>
      <w:pPr>
        <w:jc w:val="both"/>
      </w:pPr>
      <w:r>
        <w:rPr/>
        <w:t xml:space="preserve">1. Alternative asset managers such as Apollo, KKR, and Blackstone are increasingly financing blue-chip companies with investment-grade debt.</w:t>
      </w:r>
    </w:p>
    <w:p>
      <w:pPr>
        <w:jc w:val="both"/>
      </w:pPr>
      <w:r>
        <w:rPr/>
        <w:t xml:space="preserve">2. Private credit has boomed in the decade since the global financial crisis into a sector with $1.4tn in assets.</w:t>
      </w:r>
    </w:p>
    <w:p>
      <w:pPr>
        <w:jc w:val="both"/>
      </w:pPr>
      <w:r>
        <w:rPr/>
        <w:t xml:space="preserve">3. The use of insurance capital and private credit is just the latest example of blue-chip companies pairing up with alternative asset managers to raise money.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Financial Times article discusses the growing trend of alternative asset managers financing investment-grade debt for blue-chip companies. The article highlights the recent deals made by Apollo, KKR, and Blackstone with AT&amp;T and PayPal as examples of this trend. The article notes that private credit has boomed in the past decade into a sector with $1.4tn in assets, and that alternative asset managers are now targeting larger, more stable companies.</w:t>
      </w:r>
    </w:p>
    <w:p>
      <w:pPr>
        <w:jc w:val="both"/>
      </w:pPr>
      <w:r>
        <w:rPr/>
        <w:t xml:space="preserve"/>
      </w:r>
    </w:p>
    <w:p>
      <w:pPr>
        <w:jc w:val="both"/>
      </w:pPr>
      <w:r>
        <w:rPr/>
        <w:t xml:space="preserve">While the article provides some useful information about this trend, it also has some potential biases and missing points of consideration. For example, the article focuses primarily on the benefits of private credit for companies looking to raise money without tapping into traditional banks or bond markets. However, it does not explore potential risks associated with these types of deals, such as increased leverage or exposure to market volatility.</w:t>
      </w:r>
    </w:p>
    <w:p>
      <w:pPr>
        <w:jc w:val="both"/>
      </w:pPr>
      <w:r>
        <w:rPr/>
        <w:t xml:space="preserve"/>
      </w:r>
    </w:p>
    <w:p>
      <w:pPr>
        <w:jc w:val="both"/>
      </w:pPr>
      <w:r>
        <w:rPr/>
        <w:t xml:space="preserve">Additionally, the article does not provide much context around why companies are turning to private credit in the first place. It briefly mentions higher interest rates and a slowing economy as factors driving this trend, but does not delve deeper into these issues or consider other potential drivers.</w:t>
      </w:r>
    </w:p>
    <w:p>
      <w:pPr>
        <w:jc w:val="both"/>
      </w:pPr>
      <w:r>
        <w:rPr/>
        <w:t xml:space="preserve"/>
      </w:r>
    </w:p>
    <w:p>
      <w:pPr>
        <w:jc w:val="both"/>
      </w:pPr>
      <w:r>
        <w:rPr/>
        <w:t xml:space="preserve">The article also includes some promotional content for alternative asset managers like Apollo and KKR, highlighting their recent acquisitions of insurance companies and their success in raising funds for private credit deals. While this information is relevant to understanding the growth of private credit as a sector, it could be seen as one-sided reporting that favors these firms over other players in the market.</w:t>
      </w:r>
    </w:p>
    <w:p>
      <w:pPr>
        <w:jc w:val="both"/>
      </w:pPr>
      <w:r>
        <w:rPr/>
        <w:t xml:space="preserve"/>
      </w:r>
    </w:p>
    <w:p>
      <w:pPr>
        <w:jc w:val="both"/>
      </w:pPr>
      <w:r>
        <w:rPr/>
        <w:t xml:space="preserve">Overall, while the Financial Times article provides some interesting insights into the growing trend of alternative asset managers financing investment-grade debt for blue-chip companies, it could benefit from more balanced reporting that considers both potential benefits and risks associated with these types of deals.</w:t>
      </w:r>
    </w:p>
    <w:p>
      <w:pPr>
        <w:pStyle w:val="Heading1"/>
      </w:pPr>
      <w:bookmarkStart w:id="5" w:name="_Toc5"/>
      <w:r>
        <w:t>Topics for further research:</w:t>
      </w:r>
      <w:bookmarkEnd w:id="5"/>
    </w:p>
    <w:p>
      <w:pPr>
        <w:spacing w:after="0"/>
        <w:numPr>
          <w:ilvl w:val="0"/>
          <w:numId w:val="2"/>
        </w:numPr>
      </w:pPr>
      <w:r>
        <w:rPr/>
        <w:t xml:space="preserve">Risks associated with private credit deals for companies
</w:t>
      </w:r>
    </w:p>
    <w:p>
      <w:pPr>
        <w:spacing w:after="0"/>
        <w:numPr>
          <w:ilvl w:val="0"/>
          <w:numId w:val="2"/>
        </w:numPr>
      </w:pPr>
      <w:r>
        <w:rPr/>
        <w:t xml:space="preserve">Market volatility and its impact on private credit
</w:t>
      </w:r>
    </w:p>
    <w:p>
      <w:pPr>
        <w:spacing w:after="0"/>
        <w:numPr>
          <w:ilvl w:val="0"/>
          <w:numId w:val="2"/>
        </w:numPr>
      </w:pPr>
      <w:r>
        <w:rPr/>
        <w:t xml:space="preserve">Drivers of the trend towards private credit for blue-chip companies
</w:t>
      </w:r>
    </w:p>
    <w:p>
      <w:pPr>
        <w:spacing w:after="0"/>
        <w:numPr>
          <w:ilvl w:val="0"/>
          <w:numId w:val="2"/>
        </w:numPr>
      </w:pPr>
      <w:r>
        <w:rPr/>
        <w:t xml:space="preserve">Alternatives to private credit for companies seeking financing
</w:t>
      </w:r>
    </w:p>
    <w:p>
      <w:pPr>
        <w:spacing w:after="0"/>
        <w:numPr>
          <w:ilvl w:val="0"/>
          <w:numId w:val="2"/>
        </w:numPr>
      </w:pPr>
      <w:r>
        <w:rPr/>
        <w:t xml:space="preserve">Impact of higher interest rates on private credit deals
</w:t>
      </w:r>
    </w:p>
    <w:p>
      <w:pPr>
        <w:numPr>
          <w:ilvl w:val="0"/>
          <w:numId w:val="2"/>
        </w:numPr>
      </w:pPr>
      <w:r>
        <w:rPr/>
        <w:t xml:space="preserve">Comparison of private credit deals with traditional bank loans and bond markets</w:t>
      </w:r>
    </w:p>
    <w:p>
      <w:pPr>
        <w:pStyle w:val="Heading1"/>
      </w:pPr>
      <w:bookmarkStart w:id="6" w:name="_Toc6"/>
      <w:r>
        <w:t>Report location:</w:t>
      </w:r>
      <w:bookmarkEnd w:id="6"/>
    </w:p>
    <w:p>
      <w:hyperlink r:id="rId8" w:history="1">
        <w:r>
          <w:rPr>
            <w:color w:val="2980b9"/>
            <w:u w:val="single"/>
          </w:rPr>
          <w:t xml:space="preserve">https://www.fullpicture.app/item/f2dafa7836cbef4f8279464ca8742fbb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9AF2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271be286-ac12-449e-96f0-0d3ff9b4d6ee" TargetMode="External"/><Relationship Id="rId8" Type="http://schemas.openxmlformats.org/officeDocument/2006/relationships/hyperlink" Target="https://www.fullpicture.app/item/f2dafa7836cbef4f8279464ca8742f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2024-02-02T09:34:40+01:00</dcterms:created>
  <dcterms:modified xsi:type="dcterms:W3CDTF">2024-02-02T09:34:40+01:00</dcterms:modified>
</cp:coreProperties>
</file>

<file path=docProps/custom.xml><?xml version="1.0" encoding="utf-8"?>
<Properties xmlns="http://schemas.openxmlformats.org/officeDocument/2006/custom-properties" xmlns:vt="http://schemas.openxmlformats.org/officeDocument/2006/docPropsVTypes"/>
</file>