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Short-term financial constraints and SMEs’ investment decision: evidence from the working capital channel | SpringerLink</w:t>
      </w:r>
      <w:br/>
      <w:hyperlink r:id="rId7" w:history="1">
        <w:r>
          <w:rPr>
            <w:color w:val="2980b9"/>
            <w:u w:val="single"/>
          </w:rPr>
          <w:t xml:space="preserve">http://ifggac4dc569e2e694207sb5kon5qpwqnv6b0b.fhaz.libproxy.ruc.edu.cn/article/10.1007/s11187-021-00488-3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研究表明，短期财务约束可能会对中小企业（SMEs）的投资决策产生重要影响。由于SMEs的特殊财务结构，短期信贷限制可能会对它们的投资决策产生显著影响。</w:t>
      </w:r>
    </w:p>
    <w:p>
      <w:pPr>
        <w:jc w:val="both"/>
      </w:pPr>
      <w:r>
        <w:rPr/>
        <w:t xml:space="preserve">2. 在不完善的资本市场假设下，受到财务约束的企业通常更依赖内部融资能力，并在需要外部融资时更倾向于债务而非股权。这种观点认为，被认定为财务约束的企业也表现出更高的投资现金流敏感性。</w:t>
      </w:r>
    </w:p>
    <w:p>
      <w:pPr>
        <w:jc w:val="both"/>
      </w:pPr>
      <w:r>
        <w:rPr/>
        <w:t xml:space="preserve">3. 研究发现，短期财务约束可以降低企业的长期投资。工作资本需求的增加可能与固定投资竞争有限的融资资源。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这篇文章探讨了短期财务约束对中小企业（SMEs）投资决策的影响。然而，文章存在一些潜在的偏见和问题。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忽视了其他可能影响SMEs投资决策的因素。虽然短期财务约束可能是一个重要因素，但还有其他因素如市场需求、竞争环境、管理能力等也会对投资决策产生影响。文章没有提供足够的证据来支持其主张，也没有探索其他可能的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考虑到不同行业之间的差异。不同行业面临的财务约束和投资需求可能存在差异。例如，在零售业、建筑业或制造业等行业中，库存管理可能是一个重要问题，但在其他行业中可能并不重要。文章没有对这些差异进行深入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此外，文章未提供足够的数据和统计分析来支持其结论。它只引用了一些早期研究和观点，并未进行实证研究来验证这些观点。缺乏实证数据使得读者难以评估该论点的可靠性和普适性。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最后，文章缺乏平衡报道双方观点的努力。它主要关注了短期财务约束对投资决策的负面影响，而忽视了可能存在的积极影响或其他因素的作用。这种片面报道可能导致读者对问题的理解不完整。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探讨短期财务约束对SMEs投资决策的影响时存在一些潜在偏见和问题。它没有提供充分的证据来支持其主张，忽视了其他可能影响投资决策的因素，并缺乏平衡报道双方观点的努力。读者应该谨慎对待该论点，并寻找更多相关研究来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其他影响SMEs投资决策的因素
</w:t>
      </w:r>
    </w:p>
    <w:p>
      <w:pPr>
        <w:spacing w:after="0"/>
        <w:numPr>
          <w:ilvl w:val="0"/>
          <w:numId w:val="2"/>
        </w:numPr>
      </w:pPr>
      <w:r>
        <w:rPr/>
        <w:t xml:space="preserve">不同行业之间的差异
</w:t>
      </w:r>
    </w:p>
    <w:p>
      <w:pPr>
        <w:spacing w:after="0"/>
        <w:numPr>
          <w:ilvl w:val="0"/>
          <w:numId w:val="2"/>
        </w:numPr>
      </w:pPr>
      <w:r>
        <w:rPr/>
        <w:t xml:space="preserve">缺乏数据和统计分析支持
</w:t>
      </w:r>
    </w:p>
    <w:p>
      <w:pPr>
        <w:spacing w:after="0"/>
        <w:numPr>
          <w:ilvl w:val="0"/>
          <w:numId w:val="2"/>
        </w:numPr>
      </w:pPr>
      <w:r>
        <w:rPr/>
        <w:t xml:space="preserve">平衡报道双方观点的努力
</w:t>
      </w:r>
    </w:p>
    <w:p>
      <w:pPr>
        <w:spacing w:after="0"/>
        <w:numPr>
          <w:ilvl w:val="0"/>
          <w:numId w:val="2"/>
        </w:numPr>
      </w:pPr>
      <w:r>
        <w:rPr/>
        <w:t xml:space="preserve">寻找更多相关研究
</w:t>
      </w:r>
    </w:p>
    <w:p>
      <w:pPr>
        <w:numPr>
          <w:ilvl w:val="0"/>
          <w:numId w:val="2"/>
        </w:numPr>
      </w:pPr>
      <w:r>
        <w:rPr/>
        <w:t xml:space="preserve">综合评估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https://www.fullpicture.app/item/f265e7f793d5c2ec9944b190a179e6d0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1380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fggac4dc569e2e694207sb5kon5qpwqnv6b0b.fhaz.libproxy.ruc.edu.cn/article/10.1007/s11187-021-00488-3" TargetMode="External"/><Relationship Id="rId8" Type="http://schemas.openxmlformats.org/officeDocument/2006/relationships/hyperlink" Target="https://www.fullpicture.app/item/f265e7f793d5c2ec9944b190a179e6d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2024-01-09T11:24:33+01:00</dcterms:created>
  <dcterms:modified xsi:type="dcterms:W3CDTF">2024-01-09T11:24:33+01:00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