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法律合约与智能合约一致性综述 - 计算机应用研究 编辑部 - 《计算机应用研究》唯一官方网站</w:t>
      </w:r>
      <w:br/>
      <w:hyperlink r:id="rId7" w:history="1">
        <w:r>
          <w:rPr>
            <w:color w:val="2980b9"/>
            <w:u w:val="single"/>
          </w:rPr>
          <w:t xml:space="preserve">https://www.arocmag.com/article/01-2021-01-001.html</w:t>
        </w:r>
      </w:hyperlink>
    </w:p>
    <w:p>
      <w:pPr>
        <w:pStyle w:val="Heading1"/>
      </w:pPr>
      <w:bookmarkStart w:id="2" w:name="_Toc2"/>
      <w:r>
        <w:t>Article summary:</w:t>
      </w:r>
      <w:bookmarkEnd w:id="2"/>
    </w:p>
    <w:p>
      <w:pPr>
        <w:jc w:val="both"/>
      </w:pPr>
      <w:r>
        <w:rPr/>
        <w:t xml:space="preserve">1. 本文综述了智能合约与法律合约一致性的最新发展，包括两种合约语言的分类和优缺点分析。</w:t>
      </w:r>
    </w:p>
    <w:p>
      <w:pPr>
        <w:jc w:val="both"/>
      </w:pPr>
      <w:r>
        <w:rPr/>
        <w:t xml:space="preserve">2. 根据合同自动执行的三个发展阶段，分析和讨论了法律合约和智能合约的一致性内涵。</w:t>
      </w:r>
    </w:p>
    <w:p>
      <w:pPr>
        <w:jc w:val="both"/>
      </w:pPr>
      <w:r>
        <w:rPr/>
        <w:t xml:space="preserve">3. 总结了基于正式模型和合同模板生成智能合约代码的主要研究方法，并分析了它们之间的一致性。同时对法律合约与智能合约的一致性进行了总结和展望。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作为一篇学术论文，该文章在总体上比较客观和中立，但仍存在一些潜在的偏见和局限性。</w:t>
      </w:r>
    </w:p>
    <w:p>
      <w:pPr>
        <w:jc w:val="both"/>
      </w:pPr>
      <w:r>
        <w:rPr/>
        <w:t xml:space="preserve"/>
      </w:r>
    </w:p>
    <w:p>
      <w:pPr>
        <w:jc w:val="both"/>
      </w:pPr>
      <w:r>
        <w:rPr/>
        <w:t xml:space="preserve">首先，文章主要从计算机科学的角度出发，对智能合约与法律合约之间的一致性进行了综述。然而，在实际应用中，这两者之间的关系还涉及到法律、经济、社会等多个领域的因素。因此，文章可能存在对于相关领域知识和背景的缺失。</w:t>
      </w:r>
    </w:p>
    <w:p>
      <w:pPr>
        <w:jc w:val="both"/>
      </w:pPr>
      <w:r>
        <w:rPr/>
        <w:t xml:space="preserve"/>
      </w:r>
    </w:p>
    <w:p>
      <w:pPr>
        <w:jc w:val="both"/>
      </w:pPr>
      <w:r>
        <w:rPr/>
        <w:t xml:space="preserve">其次，文章对于智能合约和法律合约各自的语言进行了分类和总结，并分析了它们各自的优缺点。然而，在实际应用中，这两种语言并不是完全独立的，它们之间也存在相互影响和交叉融合的情况。因此，文章可能存在过于简化和片面化的倾向。</w:t>
      </w:r>
    </w:p>
    <w:p>
      <w:pPr>
        <w:jc w:val="both"/>
      </w:pPr>
      <w:r>
        <w:rPr/>
        <w:t xml:space="preserve"/>
      </w:r>
    </w:p>
    <w:p>
      <w:pPr>
        <w:jc w:val="both"/>
      </w:pPr>
      <w:r>
        <w:rPr/>
        <w:t xml:space="preserve">此外，在分析智能合约与法律合约之间一致性时，文章主要从自动执行契约三个阶段出发进行了探讨。然而，在实际应用中，这两者之间还涉及到契约内容、履行方式、违约责任等多个方面。因此，文章可能存在对于相关问题考虑不够全面和深入的问题。</w:t>
      </w:r>
    </w:p>
    <w:p>
      <w:pPr>
        <w:jc w:val="both"/>
      </w:pPr>
      <w:r>
        <w:rPr/>
        <w:t xml:space="preserve"/>
      </w:r>
    </w:p>
    <w:p>
      <w:pPr>
        <w:jc w:val="both"/>
      </w:pPr>
      <w:r>
        <w:rPr/>
        <w:t xml:space="preserve">最后，在总结和展望智能合约与法律合约一致性时，文章提出了基于形式模型和契约模板生成智能合约代码等方法，并分析了它们之间的一致性。然而，在实际应用中，这些方法还需要进一步验证和完善，并且也需要考虑到不同行业、不同国家/地区等具体情况下智能合约与法律合约之间可能存在的差异。因此，文章可能存在过于乐观或者简单化处理相关问题的风险。</w:t>
      </w:r>
    </w:p>
    <w:p>
      <w:pPr>
        <w:jc w:val="both"/>
      </w:pPr>
      <w:r>
        <w:rPr/>
        <w:t xml:space="preserve"/>
      </w:r>
    </w:p>
    <w:p>
      <w:pPr>
        <w:jc w:val="both"/>
      </w:pPr>
      <w:r>
        <w:rPr/>
        <w:t xml:space="preserve">综上所述，该文章虽然在总体上比较客观和中立，但仍需要更加全面深入地探讨智能合约与法律合约之间复杂多样的关系，并且需要注意到其中可能存在的风险和挑战。</w:t>
      </w:r>
    </w:p>
    <w:p>
      <w:pPr>
        <w:pStyle w:val="Heading1"/>
      </w:pPr>
      <w:bookmarkStart w:id="5" w:name="_Toc5"/>
      <w:r>
        <w:t>Topics for further research:</w:t>
      </w:r>
      <w:bookmarkEnd w:id="5"/>
    </w:p>
    <w:p>
      <w:pPr>
        <w:spacing w:after="0"/>
        <w:numPr>
          <w:ilvl w:val="0"/>
          <w:numId w:val="2"/>
        </w:numPr>
      </w:pPr>
      <w:r>
        <w:rPr/>
        <w:t xml:space="preserve">Multidisciplinary approach to smart contracts and legal contracts
</w:t>
      </w:r>
    </w:p>
    <w:p>
      <w:pPr>
        <w:spacing w:after="0"/>
        <w:numPr>
          <w:ilvl w:val="0"/>
          <w:numId w:val="2"/>
        </w:numPr>
      </w:pPr>
      <w:r>
        <w:rPr/>
        <w:t xml:space="preserve">Interplay between smart contract and legal contract languages
</w:t>
      </w:r>
    </w:p>
    <w:p>
      <w:pPr>
        <w:spacing w:after="0"/>
        <w:numPr>
          <w:ilvl w:val="0"/>
          <w:numId w:val="2"/>
        </w:numPr>
      </w:pPr>
      <w:r>
        <w:rPr/>
        <w:t xml:space="preserve">Comprehensive consideration of smart contract and legal contract consistency
</w:t>
      </w:r>
    </w:p>
    <w:p>
      <w:pPr>
        <w:spacing w:after="0"/>
        <w:numPr>
          <w:ilvl w:val="0"/>
          <w:numId w:val="2"/>
        </w:numPr>
      </w:pPr>
      <w:r>
        <w:rPr/>
        <w:t xml:space="preserve">Broader scope of smart contract and legal contract relationship beyond automated execution
</w:t>
      </w:r>
    </w:p>
    <w:p>
      <w:pPr>
        <w:spacing w:after="0"/>
        <w:numPr>
          <w:ilvl w:val="0"/>
          <w:numId w:val="2"/>
        </w:numPr>
      </w:pPr>
      <w:r>
        <w:rPr/>
        <w:t xml:space="preserve">Validation and refinement of formal model and contract template-based smart contract generation
</w:t>
      </w:r>
    </w:p>
    <w:p>
      <w:pPr>
        <w:numPr>
          <w:ilvl w:val="0"/>
          <w:numId w:val="2"/>
        </w:numPr>
      </w:pPr>
      <w:r>
        <w:rPr/>
        <w:t xml:space="preserve">Recognition of industry and regional differences in smart contract and legal contract alignment</w:t>
      </w:r>
    </w:p>
    <w:p>
      <w:pPr>
        <w:pStyle w:val="Heading1"/>
      </w:pPr>
      <w:bookmarkStart w:id="6" w:name="_Toc6"/>
      <w:r>
        <w:t>Report location:</w:t>
      </w:r>
      <w:bookmarkEnd w:id="6"/>
    </w:p>
    <w:p>
      <w:hyperlink r:id="rId8" w:history="1">
        <w:r>
          <w:rPr>
            <w:color w:val="2980b9"/>
            <w:u w:val="single"/>
          </w:rPr>
          <w:t xml:space="preserve">https://www.fullpicture.app/item/eee11b16a437a9d3c7bc7e77bc46536b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B92C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ocmag.com/article/01-2021-01-001.html" TargetMode="External"/><Relationship Id="rId8" Type="http://schemas.openxmlformats.org/officeDocument/2006/relationships/hyperlink" Target="https://www.fullpicture.app/item/eee11b16a437a9d3c7bc7e77bc4653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2024-01-18T22:51:15+01:00</dcterms:created>
  <dcterms:modified xsi:type="dcterms:W3CDTF">2024-01-18T22:51:15+01:00</dcterms:modified>
</cp:coreProperties>
</file>

<file path=docProps/custom.xml><?xml version="1.0" encoding="utf-8"?>
<Properties xmlns="http://schemas.openxmlformats.org/officeDocument/2006/custom-properties" xmlns:vt="http://schemas.openxmlformats.org/officeDocument/2006/docPropsVTypes"/>
</file>