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Royal Bank Of Canada: Plummeting Home Prices Could Trigger Mortgage Default Risk Event | Seeking Alpha</w:t>
      </w:r>
      <w:br/>
      <w:hyperlink r:id="rId7" w:history="1">
        <w:r>
          <w:rPr>
            <w:color w:val="2980b9"/>
            <w:u w:val="single"/>
          </w:rPr>
          <w:t xml:space="preserve">https://seekingalpha.com/article/4600231-royal-bank-canada-plummeting-home-prices-could-trigger-mortgage-default</w:t>
        </w:r>
      </w:hyperlink>
    </w:p>
    <w:p>
      <w:pPr>
        <w:pStyle w:val="Heading1"/>
      </w:pPr>
      <w:bookmarkStart w:id="2" w:name="_Toc2"/>
      <w:r>
        <w:t>Article summary:</w:t>
      </w:r>
      <w:bookmarkEnd w:id="2"/>
    </w:p>
    <w:p>
      <w:pPr>
        <w:jc w:val="both"/>
      </w:pPr>
      <w:r>
        <w:rPr/>
        <w:t xml:space="preserve">1. The US banking crisis may continue to worsen as more banks face a mass exodus in deposits, forcing the sale of securities with significant unrealized losses. This creates a negative feedback loop that could spread to larger systemic banks like U.S. Bancorp and Truist.</w:t>
      </w:r>
    </w:p>
    <w:p>
      <w:pPr>
        <w:jc w:val="both"/>
      </w:pPr>
      <w:r>
        <w:rPr/>
        <w:t xml:space="preserve"/>
      </w:r>
    </w:p>
    <w:p>
      <w:pPr>
        <w:jc w:val="both"/>
      </w:pPr>
      <w:r>
        <w:rPr/>
        <w:t xml:space="preserve">2. The Royal Bank of Canada (RBC) is the fifth-largest bank in North America and operates at higher overall leverage than most US banks. RBC's main risk is its massive exposure to the Canadian mortgage industry, which could trigger a mortgage default risk event if home prices plummet.</w:t>
      </w:r>
    </w:p>
    <w:p>
      <w:pPr>
        <w:jc w:val="both"/>
      </w:pPr>
      <w:r>
        <w:rPr/>
        <w:t xml:space="preserve"/>
      </w:r>
    </w:p>
    <w:p>
      <w:pPr>
        <w:jc w:val="both"/>
      </w:pPr>
      <w:r>
        <w:rPr/>
        <w:t xml:space="preserve">3. RBC benefits from oligopolistic pricing power in deposit interest costs, but there is a historically massive gap between short-term interest rates from central banks and interest rates paid out by banks to depositors. This gap is closing in the US as more people move money between banks or toward money market funds.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该文章提出了加拿大皇家银行可能面临的抵押贷款违约风险事件，并与美国银行危机进行了比较。然而，文章存在一些问题。</w:t>
      </w:r>
    </w:p>
    <w:p>
      <w:pPr>
        <w:jc w:val="both"/>
      </w:pPr>
      <w:r>
        <w:rPr/>
        <w:t xml:space="preserve"/>
      </w:r>
    </w:p>
    <w:p>
      <w:pPr>
        <w:jc w:val="both"/>
      </w:pPr>
      <w:r>
        <w:rPr/>
        <w:t xml:space="preserve">首先，文章没有提供足够的证据来支持其主张。虽然文章指出加拿大皇家银行在加拿大房屋抵押贷款市场中扮演着重要角色，但并没有提供任何数据或分析来证明这种风险的存在和规模。此外，文章也没有探讨其他可能影响加拿大银行业的因素。</w:t>
      </w:r>
    </w:p>
    <w:p>
      <w:pPr>
        <w:jc w:val="both"/>
      </w:pPr>
      <w:r>
        <w:rPr/>
        <w:t xml:space="preserve"/>
      </w:r>
    </w:p>
    <w:p>
      <w:pPr>
        <w:jc w:val="both"/>
      </w:pPr>
      <w:r>
        <w:rPr/>
        <w:t xml:space="preserve">其次，文章存在偏见和片面报道。作者似乎只关注了银行业面临的负面风险，并没有探讨任何积极因素或解决方案。此外，作者还将美国和加拿大的银行业进行了简单比较，但并没有考虑两个国家之间不同的经济和金融环境。</w:t>
      </w:r>
    </w:p>
    <w:p>
      <w:pPr>
        <w:jc w:val="both"/>
      </w:pPr>
      <w:r>
        <w:rPr/>
        <w:t xml:space="preserve"/>
      </w:r>
    </w:p>
    <w:p>
      <w:pPr>
        <w:jc w:val="both"/>
      </w:pPr>
      <w:r>
        <w:rPr/>
        <w:t xml:space="preserve">最后，文章缺乏平衡性和客观性。作者似乎倾向于认为银行业正在面临灾难性的风险事件，并忽略了任何可能缓解这种情况的因素。此外，作者还未探讨任何反驳或不同意见。</w:t>
      </w:r>
    </w:p>
    <w:p>
      <w:pPr>
        <w:jc w:val="both"/>
      </w:pPr>
      <w:r>
        <w:rPr/>
        <w:t xml:space="preserve"/>
      </w:r>
    </w:p>
    <w:p>
      <w:pPr>
        <w:jc w:val="both"/>
      </w:pPr>
      <w:r>
        <w:rPr/>
        <w:t xml:space="preserve">综上所述，该文章存在一些问题，包括缺乏证据支持、偏见和片面报道以及缺乏平衡性和客观性。读者应该谨慎对待这种类型的报道，并寻找更全面和客观的信息来做出决策。</w:t>
      </w:r>
    </w:p>
    <w:p>
      <w:pPr>
        <w:pStyle w:val="Heading1"/>
      </w:pPr>
      <w:bookmarkStart w:id="5" w:name="_Toc5"/>
      <w:r>
        <w:t>Topics for further research:</w:t>
      </w:r>
      <w:bookmarkEnd w:id="5"/>
    </w:p>
    <w:p>
      <w:pPr>
        <w:spacing w:after="0"/>
        <w:numPr>
          <w:ilvl w:val="0"/>
          <w:numId w:val="2"/>
        </w:numPr>
      </w:pPr>
      <w:r>
        <w:rPr/>
        <w:t xml:space="preserve">Canadian mortgage market data and analysis
</w:t>
      </w:r>
    </w:p>
    <w:p>
      <w:pPr>
        <w:spacing w:after="0"/>
        <w:numPr>
          <w:ilvl w:val="0"/>
          <w:numId w:val="2"/>
        </w:numPr>
      </w:pPr>
      <w:r>
        <w:rPr/>
        <w:t xml:space="preserve">Other factors affecting Canadian banking industry
</w:t>
      </w:r>
    </w:p>
    <w:p>
      <w:pPr>
        <w:spacing w:after="0"/>
        <w:numPr>
          <w:ilvl w:val="0"/>
          <w:numId w:val="2"/>
        </w:numPr>
      </w:pPr>
      <w:r>
        <w:rPr/>
        <w:t xml:space="preserve">Positive factors or solutions for banking industry
</w:t>
      </w:r>
    </w:p>
    <w:p>
      <w:pPr>
        <w:spacing w:after="0"/>
        <w:numPr>
          <w:ilvl w:val="0"/>
          <w:numId w:val="2"/>
        </w:numPr>
      </w:pPr>
      <w:r>
        <w:rPr/>
        <w:t xml:space="preserve">Differences between US and Canadian economic and financial environments
</w:t>
      </w:r>
    </w:p>
    <w:p>
      <w:pPr>
        <w:spacing w:after="0"/>
        <w:numPr>
          <w:ilvl w:val="0"/>
          <w:numId w:val="2"/>
        </w:numPr>
      </w:pPr>
      <w:r>
        <w:rPr/>
        <w:t xml:space="preserve">Counterarguments or differing opinions
</w:t>
      </w:r>
    </w:p>
    <w:p>
      <w:pPr>
        <w:numPr>
          <w:ilvl w:val="0"/>
          <w:numId w:val="2"/>
        </w:numPr>
      </w:pPr>
      <w:r>
        <w:rPr/>
        <w:t xml:space="preserve">Balanced and objective reporting on banking industry risks</w:t>
      </w:r>
    </w:p>
    <w:p>
      <w:pPr>
        <w:pStyle w:val="Heading1"/>
      </w:pPr>
      <w:bookmarkStart w:id="6" w:name="_Toc6"/>
      <w:r>
        <w:t>Report location:</w:t>
      </w:r>
      <w:bookmarkEnd w:id="6"/>
    </w:p>
    <w:p>
      <w:hyperlink r:id="rId8" w:history="1">
        <w:r>
          <w:rPr>
            <w:color w:val="2980b9"/>
            <w:u w:val="single"/>
          </w:rPr>
          <w:t xml:space="preserve">https://www.fullpicture.app/item/eed25e74e9d61d5681702bdb4efee5b7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4F6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ekingalpha.com/article/4600231-royal-bank-canada-plummeting-home-prices-could-trigger-mortgage-default" TargetMode="External"/><Relationship Id="rId8" Type="http://schemas.openxmlformats.org/officeDocument/2006/relationships/hyperlink" Target="https://www.fullpicture.app/item/eed25e74e9d61d5681702bdb4efee5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2023-10-03T00:58:10+02:00</dcterms:created>
  <dcterms:modified xsi:type="dcterms:W3CDTF">2023-10-03T00:58:10+02:00</dcterms:modified>
</cp:coreProperties>
</file>

<file path=docProps/custom.xml><?xml version="1.0" encoding="utf-8"?>
<Properties xmlns="http://schemas.openxmlformats.org/officeDocument/2006/custom-properties" xmlns:vt="http://schemas.openxmlformats.org/officeDocument/2006/docPropsVTypes"/>
</file>