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Operational decisions and financing strategies in a capital-constrained closed-loop supply chain: International Journal of Production Research: Vol 59, No 15</w:t>
      </w:r>
      <w:br/>
      <w:hyperlink r:id="rId7" w:history="1">
        <w:r>
          <w:rPr>
            <w:color w:val="2980b9"/>
            <w:u w:val="single"/>
          </w:rPr>
          <w:t xml:space="preserve">https://www.tandfonline.com/doi/full/10.1080/00207543.2020.1770356</w:t>
        </w:r>
      </w:hyperlink>
    </w:p>
    <w:p>
      <w:pPr>
        <w:pStyle w:val="Heading1"/>
      </w:pPr>
      <w:bookmarkStart w:id="2" w:name="_Toc2"/>
      <w:r>
        <w:t>Article summary:</w:t>
      </w:r>
      <w:bookmarkEnd w:id="2"/>
    </w:p>
    <w:p>
      <w:pPr>
        <w:jc w:val="both"/>
      </w:pPr>
      <w:r>
        <w:rPr/>
        <w:t xml:space="preserve">1. 本文旨在研究资金受限的制造商和零售商组成的闭环供应链中的运营决策和融资策略。</w:t>
      </w:r>
    </w:p>
    <w:p>
      <w:pPr>
        <w:jc w:val="both"/>
      </w:pPr>
      <w:r>
        <w:rPr/>
        <w:t xml:space="preserve">2. 通过引入银行融资、零售商信贷融资和混合融资三种不同的融资策略，分析了这些策略对于制造商和整个渠道利润的影响。</w:t>
      </w:r>
    </w:p>
    <w:p>
      <w:pPr>
        <w:jc w:val="both"/>
      </w:pPr>
      <w:r>
        <w:rPr/>
        <w:t xml:space="preserve">3. 研究结果表明，制造商在一定条件下会改变再制造策略，而零售商信贷融资总是会重新分配渠道利润。同时，文章还提出了可行的银行融资率和适当的零售商利率阈值。</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该文章提出了在资本受限的闭环供应链中，制造商和零售商之间的运营决策和融资策略。然而，该文章存在一些潜在的偏见和不足之处。</w:t>
      </w:r>
    </w:p>
    <w:p>
      <w:pPr>
        <w:jc w:val="both"/>
      </w:pPr>
      <w:r>
        <w:rPr/>
        <w:t xml:space="preserve"/>
      </w:r>
    </w:p>
    <w:p>
      <w:pPr>
        <w:jc w:val="both"/>
      </w:pPr>
      <w:r>
        <w:rPr/>
        <w:t xml:space="preserve">首先，该文章没有考虑到可能存在的风险因素。例如，如果制造商无法按时完成回收和再制造过程，将会影响整个供应链的效率和利润。此外，如果零售商无法销售回收产品或新产品，则可能会导致库存积压和损失。</w:t>
      </w:r>
    </w:p>
    <w:p>
      <w:pPr>
        <w:jc w:val="both"/>
      </w:pPr>
      <w:r>
        <w:rPr/>
        <w:t xml:space="preserve"/>
      </w:r>
    </w:p>
    <w:p>
      <w:pPr>
        <w:jc w:val="both"/>
      </w:pPr>
      <w:r>
        <w:rPr/>
        <w:t xml:space="preserve">其次，该文章只关注了制造商和零售商之间的利润分配问题，并未平等地呈现双方。例如，在RCF策略下，零售商可以通过提高批发价格来获得更高的利润，但这也会增加消费者购买成本并影响销售量。</w:t>
      </w:r>
    </w:p>
    <w:p>
      <w:pPr>
        <w:jc w:val="both"/>
      </w:pPr>
      <w:r>
        <w:rPr/>
        <w:t xml:space="preserve"/>
      </w:r>
    </w:p>
    <w:p>
      <w:pPr>
        <w:jc w:val="both"/>
      </w:pPr>
      <w:r>
        <w:rPr/>
        <w:t xml:space="preserve">此外，该文章提出了一些主张却缺乏充分证据支持。例如，在RCF策略下，“总体上”渠道利润会重新分配。然而，并没有详细说明这种重新分配是如何实现的。</w:t>
      </w:r>
    </w:p>
    <w:p>
      <w:pPr>
        <w:jc w:val="both"/>
      </w:pPr>
      <w:r>
        <w:rPr/>
        <w:t xml:space="preserve"/>
      </w:r>
    </w:p>
    <w:p>
      <w:pPr>
        <w:jc w:val="both"/>
      </w:pPr>
      <w:r>
        <w:rPr/>
        <w:t xml:space="preserve">最后，该文章忽略了一些重要考虑点。例如，在HF策略下，银行贷款和零售信贷都被使用了。然而，并没有考虑到这种混合融资策略可能会增加管理成本和风险。</w:t>
      </w:r>
    </w:p>
    <w:p>
      <w:pPr>
        <w:jc w:val="both"/>
      </w:pPr>
      <w:r>
        <w:rPr/>
        <w:t xml:space="preserve"/>
      </w:r>
    </w:p>
    <w:p>
      <w:pPr>
        <w:jc w:val="both"/>
      </w:pPr>
      <w:r>
        <w:rPr/>
        <w:t xml:space="preserve">综上所述，该文章存在一些偏见和不足之处。未来的研究应该更全面地考虑供应链中各方的利益，并探索更多的风险因素和融资策略。</w:t>
      </w:r>
    </w:p>
    <w:p>
      <w:pPr>
        <w:pStyle w:val="Heading1"/>
      </w:pPr>
      <w:bookmarkStart w:id="5" w:name="_Toc5"/>
      <w:r>
        <w:t>Topics for further research:</w:t>
      </w:r>
      <w:bookmarkEnd w:id="5"/>
    </w:p>
    <w:p>
      <w:pPr>
        <w:spacing w:after="0"/>
        <w:numPr>
          <w:ilvl w:val="0"/>
          <w:numId w:val="2"/>
        </w:numPr>
      </w:pPr>
      <w:r>
        <w:rPr/>
        <w:t xml:space="preserve">Supply chain risk factors
</w:t>
      </w:r>
    </w:p>
    <w:p>
      <w:pPr>
        <w:spacing w:after="0"/>
        <w:numPr>
          <w:ilvl w:val="0"/>
          <w:numId w:val="2"/>
        </w:numPr>
      </w:pPr>
      <w:r>
        <w:rPr/>
        <w:t xml:space="preserve">Equity between manufacturers and retailers
</w:t>
      </w:r>
    </w:p>
    <w:p>
      <w:pPr>
        <w:spacing w:after="0"/>
        <w:numPr>
          <w:ilvl w:val="0"/>
          <w:numId w:val="2"/>
        </w:numPr>
      </w:pPr>
      <w:r>
        <w:rPr/>
        <w:t xml:space="preserve">Lack of evidence for profit redistribution
</w:t>
      </w:r>
    </w:p>
    <w:p>
      <w:pPr>
        <w:spacing w:after="0"/>
        <w:numPr>
          <w:ilvl w:val="0"/>
          <w:numId w:val="2"/>
        </w:numPr>
      </w:pPr>
      <w:r>
        <w:rPr/>
        <w:t xml:space="preserve">Management costs and risks of mixed financing strategies
</w:t>
      </w:r>
    </w:p>
    <w:p>
      <w:pPr>
        <w:spacing w:after="0"/>
        <w:numPr>
          <w:ilvl w:val="0"/>
          <w:numId w:val="2"/>
        </w:numPr>
      </w:pPr>
      <w:r>
        <w:rPr/>
        <w:t xml:space="preserve">Comprehensive consideration of all parties' interests in the supply chain
</w:t>
      </w:r>
    </w:p>
    <w:p>
      <w:pPr>
        <w:numPr>
          <w:ilvl w:val="0"/>
          <w:numId w:val="2"/>
        </w:numPr>
      </w:pPr>
      <w:r>
        <w:rPr/>
        <w:t xml:space="preserve">Exploration of additional risk factors and financing strategies.</w:t>
      </w:r>
    </w:p>
    <w:p>
      <w:pPr>
        <w:pStyle w:val="Heading1"/>
      </w:pPr>
      <w:bookmarkStart w:id="6" w:name="_Toc6"/>
      <w:r>
        <w:t>Report location:</w:t>
      </w:r>
      <w:bookmarkEnd w:id="6"/>
    </w:p>
    <w:p>
      <w:hyperlink r:id="rId8" w:history="1">
        <w:r>
          <w:rPr>
            <w:color w:val="2980b9"/>
            <w:u w:val="single"/>
          </w:rPr>
          <w:t xml:space="preserve">https://www.fullpicture.app/item/ec5c1411f51f48b3346d961623a3391b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93EA45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andfonline.com/doi/full/10.1080/00207543.2020.1770356" TargetMode="External"/><Relationship Id="rId8" Type="http://schemas.openxmlformats.org/officeDocument/2006/relationships/hyperlink" Target="https://www.fullpicture.app/item/ec5c1411f51f48b3346d961623a3391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2024-01-04T06:12:38+01:00</dcterms:created>
  <dcterms:modified xsi:type="dcterms:W3CDTF">2024-01-04T06:12:38+01:00</dcterms:modified>
</cp:coreProperties>
</file>

<file path=docProps/custom.xml><?xml version="1.0" encoding="utf-8"?>
<Properties xmlns="http://schemas.openxmlformats.org/officeDocument/2006/custom-properties" xmlns:vt="http://schemas.openxmlformats.org/officeDocument/2006/docPropsVTypes"/>
</file>