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Synchrotron IR Spectromicroscopy: Chemistry of Living Cells | Analytical Chemistry</w:t>
      </w:r>
      <w:br/>
      <w:hyperlink r:id="rId7" w:history="1">
        <w:r>
          <w:rPr>
            <w:color w:val="2980b9"/>
            <w:u w:val="single"/>
          </w:rPr>
          <w:t xml:space="preserve">https://pubs.acs.org/doi/10.1021/ac100991d</w:t>
        </w:r>
      </w:hyperlink>
    </w:p>
    <w:p>
      <w:pPr>
        <w:pStyle w:val="Heading1"/>
      </w:pPr>
      <w:bookmarkStart w:id="2" w:name="_Toc2"/>
      <w:r>
        <w:t>Article summary:</w:t>
      </w:r>
      <w:bookmarkEnd w:id="2"/>
    </w:p>
    <w:p>
      <w:pPr>
        <w:jc w:val="both"/>
      </w:pPr>
      <w:r>
        <w:rPr/>
        <w:t xml:space="preserve">1. Synchrotron IR spectromicroscopy can study molecular reactions in individual living cells, allowing for the identification of phenotypic differences within genetically homogeneous populations.</w:t>
      </w:r>
    </w:p>
    <w:p>
      <w:pPr>
        <w:jc w:val="both"/>
      </w:pPr>
      <w:r>
        <w:rPr/>
        <w:t xml:space="preserve">2. Mid-IR region spectroscopy provides label-free fingerprint-like spectra originating from the characteristic vibrational frequencies of various chemical bonds and functional groups, making it an excellent tool for studying biological macromolecules.</w:t>
      </w:r>
    </w:p>
    <w:p>
      <w:pPr>
        <w:jc w:val="both"/>
      </w:pPr>
      <w:r>
        <w:rPr/>
        <w:t xml:space="preserve">3. IR spectroscopy-based microscopy rose again in the 1990s with the improved speed and sensitivity of fast FTIR spectromicroscopy, allowing for noninvasive high-throughput microanalysis with diffraction-limited spatial resolution and accuracy to track chemical reactions with high molecular specificity without the use of labels.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该文章主要介绍了同步辐射红外光谱显微技术在生物学研究中的应用。然而，该文章存在一些潜在的偏见和不足之处。</w:t>
      </w:r>
    </w:p>
    <w:p>
      <w:pPr>
        <w:jc w:val="both"/>
      </w:pPr>
      <w:r>
        <w:rPr/>
        <w:t xml:space="preserve"/>
      </w:r>
    </w:p>
    <w:p>
      <w:pPr>
        <w:jc w:val="both"/>
      </w:pPr>
      <w:r>
        <w:rPr/>
        <w:t xml:space="preserve">首先，该文章没有提及同步辐射红外光谱显微技术的局限性和风险。例如，使用这种技术需要高能量的辐射源，可能会对生物样本造成伤害或变异。此外，该技术也需要高昂的设备和专业知识，限制了其在实际应用中的普及。</w:t>
      </w:r>
    </w:p>
    <w:p>
      <w:pPr>
        <w:jc w:val="both"/>
      </w:pPr>
      <w:r>
        <w:rPr/>
        <w:t xml:space="preserve"/>
      </w:r>
    </w:p>
    <w:p>
      <w:pPr>
        <w:jc w:val="both"/>
      </w:pPr>
      <w:r>
        <w:rPr/>
        <w:t xml:space="preserve">其次，该文章过于强调同步辐射红外光谱显微技术的优点，而忽略了其他方法的优势。例如，在研究细胞分子反应时，还可以使用荧光共振能量转移、单分子荧光等方法来获得更详细和准确的信息。</w:t>
      </w:r>
    </w:p>
    <w:p>
      <w:pPr>
        <w:jc w:val="both"/>
      </w:pPr>
      <w:r>
        <w:rPr/>
        <w:t xml:space="preserve"/>
      </w:r>
    </w:p>
    <w:p>
      <w:pPr>
        <w:jc w:val="both"/>
      </w:pPr>
      <w:r>
        <w:rPr/>
        <w:t xml:space="preserve">此外，该文章没有考虑到样本制备对结果的影响。生物样本通常需要进行处理和固定以保持其结构完整性，并且这些处理可能会影响样品中化学反应的动力学。</w:t>
      </w:r>
    </w:p>
    <w:p>
      <w:pPr>
        <w:jc w:val="both"/>
      </w:pPr>
      <w:r>
        <w:rPr/>
        <w:t xml:space="preserve"/>
      </w:r>
    </w:p>
    <w:p>
      <w:pPr>
        <w:jc w:val="both"/>
      </w:pPr>
      <w:r>
        <w:rPr/>
        <w:t xml:space="preserve">最后，该文章缺乏对实验设计和数据分析方面的详细描述。读者无法确定作者是否采取了适当的控制措施和统计方法来确保结果的可靠性和准确性。</w:t>
      </w:r>
    </w:p>
    <w:p>
      <w:pPr>
        <w:jc w:val="both"/>
      </w:pPr>
      <w:r>
        <w:rPr/>
        <w:t xml:space="preserve"/>
      </w:r>
    </w:p>
    <w:p>
      <w:pPr>
        <w:jc w:val="both"/>
      </w:pPr>
      <w:r>
        <w:rPr/>
        <w:t xml:space="preserve">综上所述，该文章存在一些偏见和不足之处，需要更全面地考虑同步辐射红外光谱显微技术在生物学研究中的应用。</w:t>
      </w:r>
    </w:p>
    <w:p>
      <w:pPr>
        <w:pStyle w:val="Heading1"/>
      </w:pPr>
      <w:bookmarkStart w:id="5" w:name="_Toc5"/>
      <w:r>
        <w:t>Topics for further research:</w:t>
      </w:r>
      <w:bookmarkEnd w:id="5"/>
    </w:p>
    <w:p>
      <w:pPr>
        <w:spacing w:after="0"/>
        <w:numPr>
          <w:ilvl w:val="0"/>
          <w:numId w:val="2"/>
        </w:numPr>
      </w:pPr>
      <w:r>
        <w:rPr/>
        <w:t xml:space="preserve">Limitations and risks of synchrotron infrared microscopy technology
</w:t>
      </w:r>
    </w:p>
    <w:p>
      <w:pPr>
        <w:spacing w:after="0"/>
        <w:numPr>
          <w:ilvl w:val="0"/>
          <w:numId w:val="2"/>
        </w:numPr>
      </w:pPr>
      <w:r>
        <w:rPr/>
        <w:t xml:space="preserve">Advantages and disadvantages of different methods for studying molecular reactions in cells
</w:t>
      </w:r>
    </w:p>
    <w:p>
      <w:pPr>
        <w:spacing w:after="0"/>
        <w:numPr>
          <w:ilvl w:val="0"/>
          <w:numId w:val="2"/>
        </w:numPr>
      </w:pPr>
      <w:r>
        <w:rPr/>
        <w:t xml:space="preserve">Impact of sample preparation on results
</w:t>
      </w:r>
    </w:p>
    <w:p>
      <w:pPr>
        <w:spacing w:after="0"/>
        <w:numPr>
          <w:ilvl w:val="0"/>
          <w:numId w:val="2"/>
        </w:numPr>
      </w:pPr>
      <w:r>
        <w:rPr/>
        <w:t xml:space="preserve">Detailed description of experimental design and data analysis
</w:t>
      </w:r>
    </w:p>
    <w:p>
      <w:pPr>
        <w:spacing w:after="0"/>
        <w:numPr>
          <w:ilvl w:val="0"/>
          <w:numId w:val="2"/>
        </w:numPr>
      </w:pPr>
      <w:r>
        <w:rPr/>
        <w:t xml:space="preserve">Reliability and accuracy of results
</w:t>
      </w:r>
    </w:p>
    <w:p>
      <w:pPr>
        <w:numPr>
          <w:ilvl w:val="0"/>
          <w:numId w:val="2"/>
        </w:numPr>
      </w:pPr>
      <w:r>
        <w:rPr/>
        <w:t xml:space="preserve">Comprehensive consideration of synchrotron infrared microscopy technology in biological research</w:t>
      </w:r>
    </w:p>
    <w:p>
      <w:pPr>
        <w:pStyle w:val="Heading1"/>
      </w:pPr>
      <w:bookmarkStart w:id="6" w:name="_Toc6"/>
      <w:r>
        <w:t>Report location:</w:t>
      </w:r>
      <w:bookmarkEnd w:id="6"/>
    </w:p>
    <w:p>
      <w:hyperlink r:id="rId8" w:history="1">
        <w:r>
          <w:rPr>
            <w:color w:val="2980b9"/>
            <w:u w:val="single"/>
          </w:rPr>
          <w:t xml:space="preserve">https://www.fullpicture.app/item/ea930b7607817db543db61da593ce67b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E54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100991d" TargetMode="External"/><Relationship Id="rId8" Type="http://schemas.openxmlformats.org/officeDocument/2006/relationships/hyperlink" Target="https://www.fullpicture.app/item/ea930b7607817db543db61da593ce6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2023-05-29T04:09:47+02:00</dcterms:created>
  <dcterms:modified xsi:type="dcterms:W3CDTF">2023-05-29T04:09:47+02:00</dcterms:modified>
</cp:coreProperties>
</file>

<file path=docProps/custom.xml><?xml version="1.0" encoding="utf-8"?>
<Properties xmlns="http://schemas.openxmlformats.org/officeDocument/2006/custom-properties" xmlns:vt="http://schemas.openxmlformats.org/officeDocument/2006/docPropsVTypes"/>
</file>