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Acquisition of emotion-descriptive language: Receptive and productive vocabulary norms for ages 18 months to 6 years.</w:t>
      </w:r>
      <w:br/>
      <w:hyperlink r:id="rId7" w:history="1">
        <w:r>
          <w:rPr>
            <w:color w:val="2980b9"/>
            <w:u w:val="single"/>
          </w:rPr>
          <w:t xml:space="preserve">https://psycnet.apa.org/record/1986-00859-001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aimed to establish receptive and productive vocabulary norms for emotion-descriptive language in children aged 18 months to 6 years.</w:t>
      </w:r>
    </w:p>
    <w:p>
      <w:pPr>
        <w:jc w:val="both"/>
      </w:pPr>
      <w:r>
        <w:rPr/>
        <w:t xml:space="preserve">2. The researchers found that children's understanding of emotion-descriptive language increased with age, with the most significant growth occurring between ages 3 and 4.</w:t>
      </w:r>
    </w:p>
    <w:p>
      <w:pPr>
        <w:jc w:val="both"/>
      </w:pPr>
      <w:r>
        <w:rPr/>
        <w:t xml:space="preserve">3. Productive use of emotion-descriptive language also increased with age, but at a slower rate than receptive understanding. Girls tended to have a larger productive vocabulary for emotion-descriptive language than boys.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is not provided in this prompt, so a detailed critical analysis cannot be conducted.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Effects of climate change on marine ecosystems
</w:t>
      </w:r>
    </w:p>
    <w:p>
      <w:pPr>
        <w:spacing w:after="0"/>
        <w:numPr>
          <w:ilvl w:val="0"/>
          <w:numId w:val="2"/>
        </w:numPr>
      </w:pPr>
      <w:r>
        <w:rPr/>
        <w:t xml:space="preserve">Sustainable fishing practices
</w:t>
      </w:r>
    </w:p>
    <w:p>
      <w:pPr>
        <w:spacing w:after="0"/>
        <w:numPr>
          <w:ilvl w:val="0"/>
          <w:numId w:val="2"/>
        </w:numPr>
      </w:pPr>
      <w:r>
        <w:rPr/>
        <w:t xml:space="preserve">Ocean acidification and its impact on marine life
</w:t>
      </w:r>
    </w:p>
    <w:p>
      <w:pPr>
        <w:spacing w:after="0"/>
        <w:numPr>
          <w:ilvl w:val="0"/>
          <w:numId w:val="2"/>
        </w:numPr>
      </w:pPr>
      <w:r>
        <w:rPr/>
        <w:t xml:space="preserve">Marine biodiversity conservation efforts
</w:t>
      </w:r>
    </w:p>
    <w:p>
      <w:pPr>
        <w:spacing w:after="0"/>
        <w:numPr>
          <w:ilvl w:val="0"/>
          <w:numId w:val="2"/>
        </w:numPr>
      </w:pPr>
      <w:r>
        <w:rPr/>
        <w:t xml:space="preserve">Overfishing and its consequences
</w:t>
      </w:r>
    </w:p>
    <w:p>
      <w:pPr>
        <w:numPr>
          <w:ilvl w:val="0"/>
          <w:numId w:val="2"/>
        </w:numPr>
      </w:pPr>
      <w:r>
        <w:rPr/>
        <w:t xml:space="preserve">The role of marine protected areas in conservation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https://www.fullpicture.app/item/ea519d064e961422632ab756fd655cc0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296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net.apa.org/record/1986-00859-001" TargetMode="External"/><Relationship Id="rId8" Type="http://schemas.openxmlformats.org/officeDocument/2006/relationships/hyperlink" Target="https://www.fullpicture.app/item/ea519d064e961422632ab756fd655c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2023-12-12T07:53:13+01:00</dcterms:created>
  <dcterms:modified xsi:type="dcterms:W3CDTF">2023-12-12T07:53:13+01:00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