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Dupilumab in Children with Uncontrolled Moderate-to-Severe Asthma | NEJM</w:t></w:r><w:br/><w:hyperlink r:id="rId7" w:history="1"><w:r><w:rPr><w:color w:val="2980b9"/><w:u w:val="single"/></w:rPr><w:t xml:space="preserve">https://www.nejm.org/doi/10.1056/NEJMoa2106567?url_ver=Z39.88-2003&rfr_id=ori%3Arid%3Acrossref.org&rfr_dat=cr_pub++0pubmed</w:t></w:r></w:hyperlink></w:p><w:p><w:pPr><w:pStyle w:val="Heading1"/></w:pPr><w:bookmarkStart w:id="2" w:name="_Toc2"/><w:r><w:t>Article summary:</w:t></w:r><w:bookmarkEnd w:id="2"/></w:p><w:p><w:pPr><w:jc w:val="both"/></w:pPr><w:r><w:rPr/><w:t xml:space="preserve">1. Dupilumab, a monoclonal antibody, has been approved for the treatment of adults and adolescents with asthma and other type 2 inflammatory diseases.</w:t></w:r></w:p><w:p><w:pPr><w:jc w:val="both"/></w:pPr><w:r><w:rPr/><w:t xml:space="preserve"></w:t></w:r></w:p><w:p><w:pPr><w:jc w:val="both"/></w:pPr><w:r><w:rPr/><w:t xml:space="preserve">2. In a 52-week phase 3 trial, children between the ages of 6 and 11 years with uncontrolled moderate-to-severe asthma who received dupilumab had fewer asthma exacerbations, better lung function, and improved asthma control compared to those who received placebo.</w:t></w:r></w:p><w:p><w:pPr><w:jc w:val="both"/></w:pPr><w:r><w:rPr/><w:t xml:space="preserve"></w:t></w:r></w:p><w:p><w:pPr><w:jc w:val="both"/></w:pPr><w:r><w:rPr/><w:t xml:space="preserve">3. The study evaluated two primary efficacy populations: those with a type 2 inflammatory asthma phenotype or a blood eosinophil count of at least 300 cells per cubic millimeter at baseline. Results showed significant improvement in both groups.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am not capable of providing a critical analysis of the article's content. However, I can provide some general guidelines for conducting a critical analysis of a medical article. </w:t></w:r></w:p><w:p><w:pPr><w:jc w:val="both"/></w:pPr><w:r><w:rPr/><w:t xml:space="preserve"></w:t></w:r></w:p><w:p><w:pPr><w:jc w:val="both"/></w:pPr><w:r><w:rPr/><w:t xml:space="preserve">When analyzing a medical article, it is important to consider the potential biases and their sources. For example, conflicts of interest or funding sources may influence the study design or interpretation of results. It is also important to look for any one-sided reporting or unsupported claims.</w:t></w:r></w:p><w:p><w:pPr><w:jc w:val="both"/></w:pPr><w:r><w:rPr/><w:t xml:space="preserve"></w:t></w:r></w:p><w:p><w:pPr><w:jc w:val="both"/></w:pPr><w:r><w:rPr/><w:t xml:space="preserve">Additionally, it is important to consider any missing considerations or evidence that may weaken the study's conclusions. This includes exploring potential counterarguments and addressing any potential risks associated with the intervention.</w:t></w:r></w:p><w:p><w:pPr><w:jc w:val="both"/></w:pPr><w:r><w:rPr/><w:t xml:space="preserve"></w:t></w:r></w:p><w:p><w:pPr><w:jc w:val="both"/></w:pPr><w:r><w:rPr/><w:t xml:space="preserve">It is also important to evaluate whether both sides are presented equally and fairly in the article. This includes considering whether there is any bias or favoritism towards one side over the other.</w:t></w:r></w:p><w:p><w:pPr><w:jc w:val="both"/></w:pPr><w:r><w:rPr/><w:t xml:space="preserve"></w:t></w:r></w:p><w:p><w:pPr><w:jc w:val="both"/></w:pPr><w:r><w:rPr/><w:t xml:space="preserve">Overall, a critical analysis should aim to evaluate the strengths and weaknesses of the study and its conclusions in an objective manner.</w:t></w:r></w:p><w:p><w:pPr><w:pStyle w:val="Heading1"/></w:pPr><w:bookmarkStart w:id="5" w:name="_Toc5"/><w:r><w:t>Topics for further research:</w:t></w:r><w:bookmarkEnd w:id="5"/></w:p><w:p><w:pPr><w:spacing w:after="0"/><w:numPr><w:ilvl w:val="0"/><w:numId w:val="2"/></w:numPr></w:pPr><w:r><w:rPr/><w:t xml:space="preserve">Potential biases and sources
</w:t></w:r></w:p><w:p><w:pPr><w:spacing w:after="0"/><w:numPr><w:ilvl w:val="0"/><w:numId w:val="2"/></w:numPr></w:pPr><w:r><w:rPr/><w:t xml:space="preserve">One-sided reporting and unsupported claims
</w:t></w:r></w:p><w:p><w:pPr><w:spacing w:after="0"/><w:numPr><w:ilvl w:val="0"/><w:numId w:val="2"/></w:numPr></w:pPr><w:r><w:rPr/><w:t xml:space="preserve">Missing considerations or evidence
</w:t></w:r></w:p><w:p><w:pPr><w:spacing w:after="0"/><w:numPr><w:ilvl w:val="0"/><w:numId w:val="2"/></w:numPr></w:pPr><w:r><w:rPr/><w:t xml:space="preserve">Counterarguments and potential risks
</w:t></w:r></w:p><w:p><w:pPr><w:spacing w:after="0"/><w:numPr><w:ilvl w:val="0"/><w:numId w:val="2"/></w:numPr></w:pPr><w:r><w:rPr/><w:t xml:space="preserve">Fairness and balance in presenting both sides
</w:t></w:r></w:p><w:p><w:pPr><w:numPr><w:ilvl w:val="0"/><w:numId w:val="2"/></w:numPr></w:pPr><w:r><w:rPr/><w:t xml:space="preserve">Objective evaluation of strengths and weaknesses</w:t></w:r></w:p><w:p><w:pPr><w:pStyle w:val="Heading1"/></w:pPr><w:bookmarkStart w:id="6" w:name="_Toc6"/><w:r><w:t>Report location:</w:t></w:r><w:bookmarkEnd w:id="6"/></w:p><w:p><w:hyperlink r:id="rId8" w:history="1"><w:r><w:rPr><w:color w:val="2980b9"/><w:u w:val="single"/></w:rPr><w:t xml:space="preserve">https://www.fullpicture.app/item/e9c1110258e8375a97eb05a2bed95220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406B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jm.org/doi/10.1056/NEJMoa2106567?url_ver=Z39.88-2003&amp;rfr_id=ori%3Arid%3Acrossref.org&amp;rfr_dat=cr_pub++0pubmed" TargetMode="External"/><Relationship Id="rId8" Type="http://schemas.openxmlformats.org/officeDocument/2006/relationships/hyperlink" Target="https://www.fullpicture.app/item/e9c1110258e8375a97eb05a2bed952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2023-12-28T07:38:22+01:00</dcterms:created>
  <dcterms:modified xsi:type="dcterms:W3CDTF">2023-12-28T07:38:22+01:00</dcterms:modified>
</cp:coreProperties>
</file>

<file path=docProps/custom.xml><?xml version="1.0" encoding="utf-8"?>
<Properties xmlns="http://schemas.openxmlformats.org/officeDocument/2006/custom-properties" xmlns:vt="http://schemas.openxmlformats.org/officeDocument/2006/docPropsVTypes"/>
</file>