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Workshops | i-CoMSE</w:t>
      </w:r>
      <w:br/>
      <w:hyperlink r:id="rId7" w:history="1">
        <w:r>
          <w:rPr>
            <w:color w:val="2980b9"/>
            <w:u w:val="single"/>
          </w:rPr>
          <w:t xml:space="preserve">https://www.i-comse.org/workshops/</w:t>
        </w:r>
      </w:hyperlink>
    </w:p>
    <w:p>
      <w:pPr>
        <w:pStyle w:val="Heading1"/>
      </w:pPr>
      <w:bookmarkStart w:id="2" w:name="_Toc2"/>
      <w:r>
        <w:t>Article summary:</w:t>
      </w:r>
      <w:bookmarkEnd w:id="2"/>
    </w:p>
    <w:p>
      <w:pPr>
        <w:jc w:val="both"/>
      </w:pPr>
      <w:r>
        <w:rPr/>
        <w:t xml:space="preserve">1. i-CoMSE offers several workshops on computational techniques for studying chemical catalysis and kinetics, Monte Carlo and molecular dynamics simulation techniques, and density functional theory.</w:t>
      </w:r>
    </w:p>
    <w:p>
      <w:pPr>
        <w:jc w:val="both"/>
      </w:pPr>
      <w:r>
        <w:rPr/>
        <w:t xml:space="preserve">2. The workshops are open to graduate students, undergraduate students (with junior or senior standing), postdoctoral fellows, and early career faculty.</w:t>
      </w:r>
    </w:p>
    <w:p>
      <w:pPr>
        <w:jc w:val="both"/>
      </w:pPr>
      <w:r>
        <w:rPr/>
        <w:t xml:space="preserve">3. Financial support is available to cover housing, meals, and parking costs for non-local participants, and a limited number of travel stipends are available to help broaden participation.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four upcoming workshops related to computational chemistry and materials science. The workshops cover topics such as density functional theory, Monte Carlo and molecular dynamics simulations, and enhanced sampling algorithms. The article includes details about the workshop dates, locations, eligibility criteria, registration fees, financial aid availability, and tentative schedules.</w:t>
      </w:r>
    </w:p>
    <w:p>
      <w:pPr>
        <w:jc w:val="both"/>
      </w:pPr>
      <w:r>
        <w:rPr/>
        <w:t xml:space="preserve"/>
      </w:r>
    </w:p>
    <w:p>
      <w:pPr>
        <w:jc w:val="both"/>
      </w:pPr>
      <w:r>
        <w:rPr/>
        <w:t xml:space="preserve">Overall, the article appears to be informative and well-organized. However, there are a few potential biases or missing points of consideration that could be addressed. For example:</w:t>
      </w:r>
    </w:p>
    <w:p>
      <w:pPr>
        <w:jc w:val="both"/>
      </w:pPr>
      <w:r>
        <w:rPr/>
        <w:t xml:space="preserve"/>
      </w:r>
    </w:p>
    <w:p>
      <w:pPr>
        <w:jc w:val="both"/>
      </w:pPr>
      <w:r>
        <w:rPr/>
        <w:t xml:space="preserve">- The article mentions that the workshops are supported by funding from the National Science Foundation (NSF), but it does not provide any information about the NSF's role in selecting or approving these workshops. It would be helpful to know if the NSF had any input into the workshop content or instructors.</w:t>
      </w:r>
    </w:p>
    <w:p>
      <w:pPr>
        <w:jc w:val="both"/>
      </w:pPr>
      <w:r>
        <w:rPr/>
        <w:t xml:space="preserve">- The article states that financial support is available for all non-local participants to cover housing, meals, and parking costs. However, it does not specify whether this support is limited to US-based participants or if international participants are also eligible.</w:t>
      </w:r>
    </w:p>
    <w:p>
      <w:pPr>
        <w:jc w:val="both"/>
      </w:pPr>
      <w:r>
        <w:rPr/>
        <w:t xml:space="preserve">- The article notes that some travel stipends are available to help broaden participation but does not provide any information about how these stipends will be awarded or what criteria will be used to select recipients.</w:t>
      </w:r>
    </w:p>
    <w:p>
      <w:pPr>
        <w:jc w:val="both"/>
      </w:pPr>
      <w:r>
        <w:rPr/>
        <w:t xml:space="preserve">- The article does not mention any potential risks associated with attending these workshops (e.g., COVID-19 transmission). While it is possible that such risks will be addressed closer to the workshop dates, it would be helpful for potential attendees to have this information upfront.</w:t>
      </w:r>
    </w:p>
    <w:p>
      <w:pPr>
        <w:jc w:val="both"/>
      </w:pPr>
      <w:r>
        <w:rPr/>
        <w:t xml:space="preserve"/>
      </w:r>
    </w:p>
    <w:p>
      <w:pPr>
        <w:jc w:val="both"/>
      </w:pPr>
      <w:r>
        <w:rPr/>
        <w:t xml:space="preserve">In terms of unsupported claims or unexplored counterarguments, there do not appear to be any major issues with the article. However, it should be noted that the article primarily presents one side of the story - namely, why these workshops are valuable and worth attending. It would have been useful to include some perspectives from individuals who may have concerns about these workshops (e.g., those who question the effectiveness of computational methods in chemistry research).</w:t>
      </w:r>
    </w:p>
    <w:p>
      <w:pPr>
        <w:jc w:val="both"/>
      </w:pPr>
      <w:r>
        <w:rPr/>
        <w:t xml:space="preserve"/>
      </w:r>
    </w:p>
    <w:p>
      <w:pPr>
        <w:jc w:val="both"/>
      </w:pPr>
      <w:r>
        <w:rPr/>
        <w:t xml:space="preserve">Overall, while there are some potential biases or missing points of consideration in the article, it provides a useful overview of upcoming workshops related to computational chemistry and materials science. Potential attendees can use this information to decide which workshop(s) may be most relevant to their research interests and career goals.</w:t>
      </w:r>
    </w:p>
    <w:p>
      <w:pPr>
        <w:pStyle w:val="Heading1"/>
      </w:pPr>
      <w:bookmarkStart w:id="5" w:name="_Toc5"/>
      <w:r>
        <w:t>Topics for further research:</w:t>
      </w:r>
      <w:bookmarkEnd w:id="5"/>
    </w:p>
    <w:p>
      <w:pPr>
        <w:spacing w:after="0"/>
        <w:numPr>
          <w:ilvl w:val="0"/>
          <w:numId w:val="2"/>
        </w:numPr>
      </w:pPr>
      <w:r>
        <w:rPr/>
        <w:t xml:space="preserve">National Science Foundation role in workshop selection and approval
</w:t>
      </w:r>
    </w:p>
    <w:p>
      <w:pPr>
        <w:spacing w:after="0"/>
        <w:numPr>
          <w:ilvl w:val="0"/>
          <w:numId w:val="2"/>
        </w:numPr>
      </w:pPr>
      <w:r>
        <w:rPr/>
        <w:t xml:space="preserve">Eligibility criteria for international participants for financial aid
</w:t>
      </w:r>
    </w:p>
    <w:p>
      <w:pPr>
        <w:spacing w:after="0"/>
        <w:numPr>
          <w:ilvl w:val="0"/>
          <w:numId w:val="2"/>
        </w:numPr>
      </w:pPr>
      <w:r>
        <w:rPr/>
        <w:t xml:space="preserve">Criteria for selection of travel stipend recipients
</w:t>
      </w:r>
    </w:p>
    <w:p>
      <w:pPr>
        <w:spacing w:after="0"/>
        <w:numPr>
          <w:ilvl w:val="0"/>
          <w:numId w:val="2"/>
        </w:numPr>
      </w:pPr>
      <w:r>
        <w:rPr/>
        <w:t xml:space="preserve">COVID-19 safety measures for workshop attendees
</w:t>
      </w:r>
    </w:p>
    <w:p>
      <w:pPr>
        <w:spacing w:after="0"/>
        <w:numPr>
          <w:ilvl w:val="0"/>
          <w:numId w:val="2"/>
        </w:numPr>
      </w:pPr>
      <w:r>
        <w:rPr/>
        <w:t xml:space="preserve">Criticisms of computational methods in chemistry research
</w:t>
      </w:r>
    </w:p>
    <w:p>
      <w:pPr>
        <w:numPr>
          <w:ilvl w:val="0"/>
          <w:numId w:val="2"/>
        </w:numPr>
      </w:pPr>
      <w:r>
        <w:rPr/>
        <w:t xml:space="preserve">Alternatives to computational methods in chemistry research</w:t>
      </w:r>
    </w:p>
    <w:p>
      <w:pPr>
        <w:pStyle w:val="Heading1"/>
      </w:pPr>
      <w:bookmarkStart w:id="6" w:name="_Toc6"/>
      <w:r>
        <w:t>Report location:</w:t>
      </w:r>
      <w:bookmarkEnd w:id="6"/>
    </w:p>
    <w:p>
      <w:hyperlink r:id="rId8" w:history="1">
        <w:r>
          <w:rPr>
            <w:color w:val="2980b9"/>
            <w:u w:val="single"/>
          </w:rPr>
          <w:t xml:space="preserve">https://www.fullpicture.app/item/e95062f6023bd441c030aa4750097114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311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omse.org/workshops/" TargetMode="External"/><Relationship Id="rId8" Type="http://schemas.openxmlformats.org/officeDocument/2006/relationships/hyperlink" Target="https://www.fullpicture.app/item/e95062f6023bd441c030aa47500971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2024-01-06T01:16:35+01:00</dcterms:created>
  <dcterms:modified xsi:type="dcterms:W3CDTF">2024-01-06T01:16:35+01:00</dcterms:modified>
</cp:coreProperties>
</file>

<file path=docProps/custom.xml><?xml version="1.0" encoding="utf-8"?>
<Properties xmlns="http://schemas.openxmlformats.org/officeDocument/2006/custom-properties" xmlns:vt="http://schemas.openxmlformats.org/officeDocument/2006/docPropsVTypes"/>
</file>