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[2303.04823] Pulse-controlled qubit in semiconductor double quantum dots</w:t>
      </w:r>
      <w:br/>
      <w:hyperlink r:id="rId7" w:history="1">
        <w:r>
          <w:rPr>
            <w:color w:val="2980b9"/>
            <w:u w:val="single"/>
          </w:rPr>
          <w:t xml:space="preserve">https://arxiv.org/abs/2303.04823</w:t>
        </w:r>
      </w:hyperlink>
    </w:p>
    <w:p>
      <w:pPr>
        <w:pStyle w:val="Heading1"/>
      </w:pPr>
      <w:bookmarkStart w:id="2" w:name="_Toc2"/>
      <w:r>
        <w:t>Article summary:</w:t>
      </w:r>
      <w:bookmarkEnd w:id="2"/>
    </w:p>
    <w:p>
      <w:pPr>
        <w:jc w:val="both"/>
      </w:pPr>
      <w:r>
        <w:rPr/>
        <w:t xml:space="preserve">1. 本文提出了一种用于量子控制的多脉冲框架，可用于单电子电荷量子位的操作。</w:t>
      </w:r>
    </w:p>
    <w:p>
      <w:pPr>
        <w:jc w:val="both"/>
      </w:pPr>
      <w:r>
        <w:rPr/>
        <w:t xml:space="preserve">2. 这个框架定义了一组脉冲序列，可以避免与计算子空间外的激发相关的错误，并且能够在保持高速度和执行通用单量子比特旋转的同时，以绝热方式操作量子比特。</w:t>
      </w:r>
    </w:p>
    <w:p>
      <w:pPr>
        <w:jc w:val="both"/>
      </w:pPr>
      <w:r>
        <w:rPr/>
        <w:t xml:space="preserve">3. 通过模拟半导体双量子点器件，验证了该协议对量子比特控制的改进。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由于这篇文章是一篇科学论文，其内容主要涉及到量子控制和双量子点的模拟，因此很难出现明显的偏见或宣传内容。然而，在对该文章进行批判性分析时，我们可以关注以下几个方面：</w:t>
      </w:r>
    </w:p>
    <w:p>
      <w:pPr>
        <w:jc w:val="both"/>
      </w:pPr>
      <w:r>
        <w:rPr/>
        <w:t xml:space="preserve"/>
      </w:r>
    </w:p>
    <w:p>
      <w:pPr>
        <w:jc w:val="both"/>
      </w:pPr>
      <w:r>
        <w:rPr/>
        <w:t xml:space="preserve">1. 片面报道：该文章可能存在片面报道的问题，因为它只关注了特定类型的量子比特（即单电子电荷比特），而没有考虑其他类型的量子比特。这可能导致读者对该领域中其他重要进展的忽视。</w:t>
      </w:r>
    </w:p>
    <w:p>
      <w:pPr>
        <w:jc w:val="both"/>
      </w:pPr>
      <w:r>
        <w:rPr/>
        <w:t xml:space="preserve"/>
      </w:r>
    </w:p>
    <w:p>
      <w:pPr>
        <w:jc w:val="both"/>
      </w:pPr>
      <w:r>
        <w:rPr/>
        <w:t xml:space="preserve">2. 缺失考虑点：尽管该文章提供了一个优化的多脉冲框架来控制量子比特，但它并没有考虑实际应用中可能遇到的噪声和误差。这些因素可能会影响实验结果，并且需要更深入地研究。</w:t>
      </w:r>
    </w:p>
    <w:p>
      <w:pPr>
        <w:jc w:val="both"/>
      </w:pPr>
      <w:r>
        <w:rPr/>
        <w:t xml:space="preserve"/>
      </w:r>
    </w:p>
    <w:p>
      <w:pPr>
        <w:jc w:val="both"/>
      </w:pPr>
      <w:r>
        <w:rPr/>
        <w:t xml:space="preserve">3. 主张缺乏证据：尽管该文章声称其协议可以提高量子比特的控制能力，但它并没有提供足够的证据来支持这一主张。更多实验数据和分析需要进行以验证其有效性。</w:t>
      </w:r>
    </w:p>
    <w:p>
      <w:pPr>
        <w:jc w:val="both"/>
      </w:pPr>
      <w:r>
        <w:rPr/>
        <w:t xml:space="preserve"/>
      </w:r>
    </w:p>
    <w:p>
      <w:pPr>
        <w:jc w:val="both"/>
      </w:pPr>
      <w:r>
        <w:rPr/>
        <w:t xml:space="preserve">4. 未探索反驳：该文章并没有探讨任何反驳或质疑其协议有效性的观点。这可能导致读者对该协议存在潜在问题或限制的忽视。</w:t>
      </w:r>
    </w:p>
    <w:p>
      <w:pPr>
        <w:jc w:val="both"/>
      </w:pPr>
      <w:r>
        <w:rPr/>
        <w:t xml:space="preserve"/>
      </w:r>
    </w:p>
    <w:p>
      <w:pPr>
        <w:jc w:val="both"/>
      </w:pPr>
      <w:r>
        <w:rPr/>
        <w:t xml:space="preserve">5. 没有平等呈现双方：由于该文章是一篇科学论文，其目标是介绍作者们所开发的新方法，并不需要平等呈现双方观点。然而，在其他类型的文章中，平等呈现双方观点是非常重要的，以确保读者获得全面和客观的信息。</w:t>
      </w:r>
    </w:p>
    <w:p>
      <w:pPr>
        <w:jc w:val="both"/>
      </w:pPr>
      <w:r>
        <w:rPr/>
        <w:t xml:space="preserve"/>
      </w:r>
    </w:p>
    <w:p>
      <w:pPr>
        <w:jc w:val="both"/>
      </w:pPr>
      <w:r>
        <w:rPr/>
        <w:t xml:space="preserve">总之，尽管这篇文章本身并没有明显偏见或宣传内容，但仍然存在一些值得注意和改进之处。在未来研究中应更加全面地考虑各种因素，并提供足够证据来支持所提出主张。</w:t>
      </w:r>
    </w:p>
    <w:p>
      <w:pPr>
        <w:pStyle w:val="Heading1"/>
      </w:pPr>
      <w:bookmarkStart w:id="5" w:name="_Toc5"/>
      <w:r>
        <w:t>Topics for further research:</w:t>
      </w:r>
      <w:bookmarkEnd w:id="5"/>
    </w:p>
    <w:p>
      <w:pPr>
        <w:spacing w:after="0"/>
        <w:numPr>
          <w:ilvl w:val="0"/>
          <w:numId w:val="2"/>
        </w:numPr>
      </w:pPr>
      <w:r>
        <w:rPr/>
        <w:t xml:space="preserve">Other types of quantum bits
</w:t>
      </w:r>
    </w:p>
    <w:p>
      <w:pPr>
        <w:spacing w:after="0"/>
        <w:numPr>
          <w:ilvl w:val="0"/>
          <w:numId w:val="2"/>
        </w:numPr>
      </w:pPr>
      <w:r>
        <w:rPr/>
        <w:t xml:space="preserve">Noise and error in practical applications
</w:t>
      </w:r>
    </w:p>
    <w:p>
      <w:pPr>
        <w:spacing w:after="0"/>
        <w:numPr>
          <w:ilvl w:val="0"/>
          <w:numId w:val="2"/>
        </w:numPr>
      </w:pPr>
      <w:r>
        <w:rPr/>
        <w:t xml:space="preserve">Evidence to support claims
</w:t>
      </w:r>
    </w:p>
    <w:p>
      <w:pPr>
        <w:spacing w:after="0"/>
        <w:numPr>
          <w:ilvl w:val="0"/>
          <w:numId w:val="2"/>
        </w:numPr>
      </w:pPr>
      <w:r>
        <w:rPr/>
        <w:t xml:space="preserve">Potential limitations or issues
</w:t>
      </w:r>
    </w:p>
    <w:p>
      <w:pPr>
        <w:spacing w:after="0"/>
        <w:numPr>
          <w:ilvl w:val="0"/>
          <w:numId w:val="2"/>
        </w:numPr>
      </w:pPr>
      <w:r>
        <w:rPr/>
        <w:t xml:space="preserve">Equal presentation of opposing views
</w:t>
      </w:r>
    </w:p>
    <w:p>
      <w:pPr>
        <w:numPr>
          <w:ilvl w:val="0"/>
          <w:numId w:val="2"/>
        </w:numPr>
      </w:pPr>
      <w:r>
        <w:rPr/>
        <w:t xml:space="preserve">Comprehensive consideration of all factors</w:t>
      </w:r>
    </w:p>
    <w:p>
      <w:pPr>
        <w:pStyle w:val="Heading1"/>
      </w:pPr>
      <w:bookmarkStart w:id="6" w:name="_Toc6"/>
      <w:r>
        <w:t>Report location:</w:t>
      </w:r>
      <w:bookmarkEnd w:id="6"/>
    </w:p>
    <w:p>
      <w:hyperlink r:id="rId8" w:history="1">
        <w:r>
          <w:rPr>
            <w:color w:val="2980b9"/>
            <w:u w:val="single"/>
          </w:rPr>
          <w:t xml:space="preserve">https://www.fullpicture.app/item/e93b46fc305571c481f28e6ce58ecc5b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AD26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04823" TargetMode="External"/><Relationship Id="rId8" Type="http://schemas.openxmlformats.org/officeDocument/2006/relationships/hyperlink" Target="https://www.fullpicture.app/item/e93b46fc305571c481f28e6ce58ecc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2023-12-26T13:11:29+01:00</dcterms:created>
  <dcterms:modified xsi:type="dcterms:W3CDTF">2023-12-26T13:11:29+01:00</dcterms:modified>
</cp:coreProperties>
</file>

<file path=docProps/custom.xml><?xml version="1.0" encoding="utf-8"?>
<Properties xmlns="http://schemas.openxmlformats.org/officeDocument/2006/custom-properties" xmlns:vt="http://schemas.openxmlformats.org/officeDocument/2006/docPropsVTypes"/>
</file>