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Individual investor mutual fund flows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https://vpn.jlu.edu.cn/https/6a6c7576706e6973746865676f6f642146ab1ccab988c2a628982887fb4b0f3fca7e3a30a5/science/article/pii/S0304405X09000051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Mutual fund performance has a strong positive relation with net fund flows, but it is important to study the patterns of inflows and outflows separately to gain more detailed insights.</w:t>
      </w:r>
    </w:p>
    <w:p>
      <w:pPr>
        <w:jc w:val="both"/>
      </w:pPr>
      <w:r>
        <w:rPr/>
        <w:t xml:space="preserve">2. Individual investors' mutual fund share redemption decisions are influenced by a range of factors, including past performance, potential future tax liabilities, and investment costs.</w:t>
      </w:r>
    </w:p>
    <w:p>
      <w:pPr>
        <w:jc w:val="both"/>
      </w:pPr>
      <w:r>
        <w:rPr/>
        <w:t xml:space="preserve">3. Tax-sensitive investors may focus on fund characteristics that provide information regarding future distribution policy, while investment costs can have both positive and negative effects on inflows and outflows.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该文章主要探讨了个人投资者对共同基金的流动性，以及这些流动性与基金特征（如过去表现、潜在未来税收负担和投资成本）之间的关系。然而，该文章存在一些偏见和不足之处。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研究了1991年至1996年期间的数据，可能无法反映当前市场情况。其次，该文章没有考虑到其他因素对投资者决策的影响，例如市场情绪、宏观经济环境等。此外，该文章没有提供足够的证据来支持其主张，并且可能存在选择性报道和片面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忽略了风险管理方面的问题。共同基金是一种集合投资工具，可能存在风险分散不足或者基金经理能力不足等问题。如果投资者只关注过去表现而忽略了风险管理方面的问题，则可能会导致投资风险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双方观点方面，该文章似乎更倾向于强调个人投资者对基金表现的追逐行为，并没有充分考虑到其他因素对决策的影响。因此，在评估共同基金投资时，需要综合考虑多种因素，并注意到潜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Current market conditions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investor decisions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Risk management issues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investment decisions
</w:t>
      </w:r>
    </w:p>
    <w:p>
      <w:pPr>
        <w:numPr>
          <w:ilvl w:val="0"/>
          <w:numId w:val="2"/>
        </w:numPr>
      </w:pPr>
      <w:r>
        <w:rPr/>
        <w:t xml:space="preserve">Potential risks involved in mutual fund investments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https://www.fullpicture.app/item/e82b110d11bdcf3ebf967f632d91c708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21C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0304405X09000051" TargetMode="External"/><Relationship Id="rId8" Type="http://schemas.openxmlformats.org/officeDocument/2006/relationships/hyperlink" Target="https://www.fullpicture.app/item/e82b110d11bdcf3ebf967f632d91c7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2024-01-04T13:24:42+01:00</dcterms:created>
  <dcterms:modified xsi:type="dcterms:W3CDTF">2024-01-04T13:24:42+01:00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