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Efficacy and Safety of Ultrasound-Guided Radiofrequency Ablation for Primary Hyperparathyroidism: A Prospective Study - PubMed</w:t>
      </w:r>
      <w:br/>
      <w:hyperlink r:id="rId7" w:history="1">
        <w:r>
          <w:rPr>
            <w:color w:val="2980b9"/>
            <w:u w:val="single"/>
          </w:rPr>
          <w:t xml:space="preserve">https://pubmed.ncbi.nlm.nih.gov/35506529/</w:t>
        </w:r>
      </w:hyperlink>
    </w:p>
    <w:p>
      <w:pPr>
        <w:pStyle w:val="Heading1"/>
      </w:pPr>
      <w:bookmarkStart w:id="2" w:name="_Toc2"/>
      <w:r>
        <w:t>Article summary:</w:t>
      </w:r>
      <w:bookmarkEnd w:id="2"/>
    </w:p>
    <w:p>
      <w:pPr>
        <w:jc w:val="both"/>
      </w:pPr>
      <w:r>
        <w:rPr/>
        <w:t xml:space="preserve">1. 本研究评估了超声引导射频消融（RFA）治疗原发性甲状旁腺功能亢进症（PHPT）患者的疗效和安全性。</w:t>
      </w:r>
    </w:p>
    <w:p>
      <w:pPr>
        <w:jc w:val="both"/>
      </w:pPr>
      <w:r>
        <w:rPr/>
        <w:t xml:space="preserve">2. 在39名参与者中，38个结节完全消融，技术成功率为97.4%。随访期为平均13.2个月，在6个月和12个月后，生化治愈率分别为82.1%和84.4%，临床治愈率分别为100%和96.9%。</w:t>
      </w:r>
    </w:p>
    <w:p>
      <w:pPr>
        <w:jc w:val="both"/>
      </w:pPr>
      <w:r>
        <w:rPr/>
        <w:t xml:space="preserve">3. 射频消融对于无法耐受或拒绝手术的患者来说可能是一种替代治疗工具。</w:t>
      </w:r>
    </w:p>
    <w:p>
      <w:pPr>
        <w:jc w:val="both"/>
      </w:pPr>
      <w:r>
        <w:rPr/>
        <w:t xml:space="preserve"/>
      </w:r>
    </w:p>
    <w:p>
      <w:pPr>
        <w:jc w:val="both"/>
      </w:pPr>
      <w:r>
        <w:rPr/>
        <w:t xml:space="preserve">注意：以上总结由人工智能算法生成，可能不完全准确或包含错误。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根据文章的标题和摘要，这是一项关于超声引导射频消融治疗原发性甲状旁腺功能亢进（PHPT）的前瞻性研究。该研究旨在评估超声引导射频消融在PHPT患者中的疗效和安全性。</w:t>
      </w:r>
    </w:p>
    <w:p>
      <w:pPr>
        <w:jc w:val="both"/>
      </w:pPr>
      <w:r>
        <w:rPr/>
        <w:t xml:space="preserve"/>
      </w:r>
    </w:p>
    <w:p>
      <w:pPr>
        <w:jc w:val="both"/>
      </w:pPr>
      <w:r>
        <w:rPr/>
        <w:t xml:space="preserve">然而，由于只有标题和摘要可用，无法对整篇文章进行详细分析。以下是一些可能存在的偏见或缺失的考虑点：</w:t>
      </w:r>
    </w:p>
    <w:p>
      <w:pPr>
        <w:jc w:val="both"/>
      </w:pPr>
      <w:r>
        <w:rPr/>
        <w:t xml:space="preserve"/>
      </w:r>
    </w:p>
    <w:p>
      <w:pPr>
        <w:jc w:val="both"/>
      </w:pPr>
      <w:r>
        <w:rPr/>
        <w:t xml:space="preserve">1. 样本量：该研究仅纳入了39名参与者，样本量较小。这可能导致结果的可靠性受到限制，并且可能无法代表整个PHPT患者群体。</w:t>
      </w:r>
    </w:p>
    <w:p>
      <w:pPr>
        <w:jc w:val="both"/>
      </w:pPr>
      <w:r>
        <w:rPr/>
        <w:t xml:space="preserve"/>
      </w:r>
    </w:p>
    <w:p>
      <w:pPr>
        <w:jc w:val="both"/>
      </w:pPr>
      <w:r>
        <w:rPr/>
        <w:t xml:space="preserve">2. 缺乏对比组：该研究没有提供与其他治疗方法（如手术）相比的对比组。因此，无法确定超声引导射频消融是否优于其他治疗方法。</w:t>
      </w:r>
    </w:p>
    <w:p>
      <w:pPr>
        <w:jc w:val="both"/>
      </w:pPr>
      <w:r>
        <w:rPr/>
        <w:t xml:space="preserve"/>
      </w:r>
    </w:p>
    <w:p>
      <w:pPr>
        <w:jc w:val="both"/>
      </w:pPr>
      <w:r>
        <w:rPr/>
        <w:t xml:space="preserve">3. 随访时间较短：平均随访时间为13.2个月，但长期效果仍不清楚。更长时间的随访可能有助于评估射频消融治疗的持久性和稳定性。</w:t>
      </w:r>
    </w:p>
    <w:p>
      <w:pPr>
        <w:jc w:val="both"/>
      </w:pPr>
      <w:r>
        <w:rPr/>
        <w:t xml:space="preserve"/>
      </w:r>
    </w:p>
    <w:p>
      <w:pPr>
        <w:jc w:val="both"/>
      </w:pPr>
      <w:r>
        <w:rPr/>
        <w:t xml:space="preserve">4. 潜在偏见：由于没有完整的文章内容，无法确定作者是否存在潜在的利益冲突或偏见。这可能对研究结果的解释和推广产生影响。</w:t>
      </w:r>
    </w:p>
    <w:p>
      <w:pPr>
        <w:jc w:val="both"/>
      </w:pPr>
      <w:r>
        <w:rPr/>
        <w:t xml:space="preserve"/>
      </w:r>
    </w:p>
    <w:p>
      <w:pPr>
        <w:jc w:val="both"/>
      </w:pPr>
      <w:r>
        <w:rPr/>
        <w:t xml:space="preserve">5. 安全性问题：文章提到了两例患者出现喉返神经麻痹，但没有提供更多关于其他潜在并发症或风险的信息。更全面的安全性评估是必要的。</w:t>
      </w:r>
    </w:p>
    <w:p>
      <w:pPr>
        <w:jc w:val="both"/>
      </w:pPr>
      <w:r>
        <w:rPr/>
        <w:t xml:space="preserve"/>
      </w:r>
    </w:p>
    <w:p>
      <w:pPr>
        <w:jc w:val="both"/>
      </w:pPr>
      <w:r>
        <w:rPr/>
        <w:t xml:space="preserve">总之，根据目前可用的信息，无法对该研究进行全面的批判性分析。进一步阅读完整的文章以及与其他相关研究进行比较将有助于更好地评估超声引导射频消融治疗PHPT的有效性和安全性。</w:t>
      </w:r>
    </w:p>
    <w:p>
      <w:pPr>
        <w:pStyle w:val="Heading1"/>
      </w:pPr>
      <w:bookmarkStart w:id="5" w:name="_Toc5"/>
      <w:r>
        <w:t>Topics for further research:</w:t>
      </w:r>
      <w:bookmarkEnd w:id="5"/>
    </w:p>
    <w:p>
      <w:pPr>
        <w:spacing w:after="0"/>
        <w:numPr>
          <w:ilvl w:val="0"/>
          <w:numId w:val="2"/>
        </w:numPr>
      </w:pPr>
      <w:r>
        <w:rPr/>
        <w:t xml:space="preserve">样本量限制的影响
</w:t>
      </w:r>
    </w:p>
    <w:p>
      <w:pPr>
        <w:spacing w:after="0"/>
        <w:numPr>
          <w:ilvl w:val="0"/>
          <w:numId w:val="2"/>
        </w:numPr>
      </w:pPr>
      <w:r>
        <w:rPr/>
        <w:t xml:space="preserve">超声引导射频消融与其他治疗方法的比较
</w:t>
      </w:r>
    </w:p>
    <w:p>
      <w:pPr>
        <w:spacing w:after="0"/>
        <w:numPr>
          <w:ilvl w:val="0"/>
          <w:numId w:val="2"/>
        </w:numPr>
      </w:pPr>
      <w:r>
        <w:rPr/>
        <w:t xml:space="preserve">长期效果的评估
</w:t>
      </w:r>
    </w:p>
    <w:p>
      <w:pPr>
        <w:spacing w:after="0"/>
        <w:numPr>
          <w:ilvl w:val="0"/>
          <w:numId w:val="2"/>
        </w:numPr>
      </w:pPr>
      <w:r>
        <w:rPr/>
        <w:t xml:space="preserve">作者潜在利益冲突或偏见
</w:t>
      </w:r>
    </w:p>
    <w:p>
      <w:pPr>
        <w:spacing w:after="0"/>
        <w:numPr>
          <w:ilvl w:val="0"/>
          <w:numId w:val="2"/>
        </w:numPr>
      </w:pPr>
      <w:r>
        <w:rPr/>
        <w:t xml:space="preserve">安全性问题的全面评估
</w:t>
      </w:r>
    </w:p>
    <w:p>
      <w:pPr>
        <w:numPr>
          <w:ilvl w:val="0"/>
          <w:numId w:val="2"/>
        </w:numPr>
      </w:pPr>
      <w:r>
        <w:rPr/>
        <w:t xml:space="preserve">阅读完整文章和其他相关研究的重要性</w:t>
      </w:r>
    </w:p>
    <w:p>
      <w:pPr>
        <w:pStyle w:val="Heading1"/>
      </w:pPr>
      <w:bookmarkStart w:id="6" w:name="_Toc6"/>
      <w:r>
        <w:t>Report location:</w:t>
      </w:r>
      <w:bookmarkEnd w:id="6"/>
    </w:p>
    <w:p>
      <w:hyperlink r:id="rId8" w:history="1">
        <w:r>
          <w:rPr>
            <w:color w:val="2980b9"/>
            <w:u w:val="single"/>
          </w:rPr>
          <w:t xml:space="preserve">https://www.fullpicture.app/item/e8178d76a00ff6266701a078788a8590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B02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06529/" TargetMode="External"/><Relationship Id="rId8" Type="http://schemas.openxmlformats.org/officeDocument/2006/relationships/hyperlink" Target="https://www.fullpicture.app/item/e8178d76a00ff6266701a078788a85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2024-06-29T14:59:43+02:00</dcterms:created>
  <dcterms:modified xsi:type="dcterms:W3CDTF">2024-06-29T14:59:43+02:00</dcterms:modified>
</cp:coreProperties>
</file>

<file path=docProps/custom.xml><?xml version="1.0" encoding="utf-8"?>
<Properties xmlns="http://schemas.openxmlformats.org/officeDocument/2006/custom-properties" xmlns:vt="http://schemas.openxmlformats.org/officeDocument/2006/docPropsVTypes"/>
</file>