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Chirality-influenced antibacterial activity of methylthiazole- and thiadiazole-based supramolecular biocompatible hydrogels - ScienceDirect</w:t>
      </w:r>
      <w:br/>
      <w:hyperlink r:id="rId7" w:history="1">
        <w:r>
          <w:rPr>
            <w:color w:val="2980b9"/>
            <w:u w:val="single"/>
          </w:rPr>
          <w:t xml:space="preserve">https://www.x-mol.com/paperRedirect/1484367157839282176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Chirality plays a significant role in antimicrobial activity, but the impact of chiral molecules and supramolecular chirality on antimicrobial activities is poorly understood.</w:t>
      </w:r>
    </w:p>
    <w:p>
      <w:pPr>
        <w:jc w:val="both"/>
      </w:pPr>
      <w:r>
        <w:rPr/>
        <w:t xml:space="preserve">2. Hydrogels with inherent antimicrobial capabilities are a promising alternative for multidrug-resistant infections, but there are challenges with current options such as silver nanoparticles and co-assembly with antibiotics.</w:t>
      </w:r>
    </w:p>
    <w:p>
      <w:pPr>
        <w:jc w:val="both"/>
      </w:pPr>
      <w:r>
        <w:rPr/>
        <w:t xml:space="preserve">3. The study successfully synthesized supramolecular chiral hydrogelators that exhibited differential antimicrobial activity based on their chiral fibers' handedness, providing potential for the development of efficient chiral antimicrobial agents.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偏见及其来源：文章中存在一些潜在的偏见。首先，作者提到了D-型生物材料在抗菌活性方面的优势，但没有提供足够的证据来支持这一主张。此外，文章没有探讨L-型生物材料是否也具有其他优势或应用领域。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片面报道：文章只关注了手性分子对抗菌活性的影响，而忽略了其他可能影响抗菌活性的因素。例如，文章没有考虑到环境因素、细菌耐药性等因素对抗菌活性的影响。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无根据的主张：文章中提到了手性分子和超分子手性对抗菌活性的影响，但没有提供足够的实验证据来支持这一主张。作者只是引用了几个相关研究的结果，并未进行自己的实验验证。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缺失的考虑点：文章没有考虑到可能存在的副作用或风险。例如，在使用手性分子作为抗菌剂时可能会出现毒副作用或不良反应。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所提出主张的缺失证据：尽管文章声称D-型生物材料在抗菌活性方面更有效，但并未提供足够的实验证据来支持这一主张。文章只是引用了几个相关研究的结果，并未进行自己的实验验证。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未探索的反驳：文章没有探讨可能存在的反驳观点或其他解释。例如，是否有其他因素可以解释D-型生物材料在抗菌活性方面的优势？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宣传内容：文章中存在一些宣传内容，如将新合成的超分子手性水凝胶描述为具有“理想环境”和“广泛应用”的材料。然而，这些宣传性语言缺乏实证支持。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偏袒：文章中对D-型生物材料在抗菌活性方面的偏袒也是一个问题。作者没有平等地呈现双方观点或考虑到L-型生物材料可能具有的优势。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偏见、片面报道、无根据的主张、缺失的考虑点、所提出主张缺乏证据、未探索的反驳以及宣传内容等问题。对于这样一个科学研究论文来说，应该更加客观和全面地呈现研究结果，并考虑到可能存在的风险和其他解释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D-型生物材料的抗菌活性优势证据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其他可能影响抗菌活性的因素
</w:t>
      </w:r>
    </w:p>
    <w:p>
      <w:pPr>
        <w:spacing w:after="0"/>
        <w:numPr>
          <w:ilvl w:val="0"/>
          <w:numId w:val="2"/>
        </w:numPr>
      </w:pPr>
      <w:r>
        <w:rPr/>
        <w:t xml:space="preserve">手性分子和超分子手性对抗菌活性的实验证据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手性分子作为抗菌剂可能存在的副作用或风险
</w:t>
      </w:r>
    </w:p>
    <w:p>
      <w:pPr>
        <w:spacing w:after="0"/>
        <w:numPr>
          <w:ilvl w:val="0"/>
          <w:numId w:val="2"/>
        </w:numPr>
      </w:pPr>
      <w:r>
        <w:rPr/>
        <w:t xml:space="preserve">D-型生物材料在抗菌活性方面的实验证据
</w:t>
      </w:r>
    </w:p>
    <w:p>
      <w:pPr>
        <w:numPr>
          <w:ilvl w:val="0"/>
          <w:numId w:val="2"/>
        </w:numPr>
      </w:pPr>
      <w:r>
        <w:rPr/>
        <w:t xml:space="preserve">其他解释D-型生物材料在抗菌活性方面的优势的因素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https://www.fullpicture.app/item/e7f658800f98587e943ef424dcc6e0c1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2D25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Redirect/1484367157839282176" TargetMode="External"/><Relationship Id="rId8" Type="http://schemas.openxmlformats.org/officeDocument/2006/relationships/hyperlink" Target="https://www.fullpicture.app/item/e7f658800f98587e943ef424dcc6e0c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2023-12-20T11:24:59+01:00</dcterms:created>
  <dcterms:modified xsi:type="dcterms:W3CDTF">2023-12-20T11:24:59+01:00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