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 efeito de eventos técnicos especiais no jogo sobre o sucesso dos times de futebol profissional: Super Liga Turca | Revista on line de Política e Gestão Educacional</w:t>
      </w:r>
      <w:br/>
      <w:hyperlink r:id="rId7" w:history="1">
        <w:r>
          <w:rPr>
            <w:color w:val="2980b9"/>
            <w:u w:val="single"/>
          </w:rPr>
          <w:t xml:space="preserve">https://periodicos.fclar.unesp.br/rpge/article/view/15494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目的：研究2019-2020赛季土耳其超级联赛中，控球、传球和射门等因素对球队成功的影响。</w:t>
      </w:r>
    </w:p>
    <w:p>
      <w:pPr>
        <w:jc w:val="both"/>
      </w:pPr>
      <w:r>
        <w:rPr/>
        <w:t xml:space="preserve">2. 结果：在比赛结果（输-平-胜）方面，射正次数、总射门次数、重要传球次数和排名得分在胜利时显著高于失败和平局。在联赛排名（排名1-6，排名7-12，排名13-18）方面也有类似的结果。</w:t>
      </w:r>
    </w:p>
    <w:p>
      <w:pPr>
        <w:jc w:val="both"/>
      </w:pPr>
      <w:r>
        <w:rPr/>
        <w:t xml:space="preserve">3. 引用文献：文章引用了多篇与足球比赛相关的学术论文。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这篇文章主要探讨了在2019-2020赛季土耳其超级联赛中，球队的控球率、传球和射门等因素对于球队成功的影响。然而，该研究存在一些潜在的偏见和局限性。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首先，该研究只考虑了比赛中的技术指标，而没有考虑其他因素如球员状态、伤病情况、战术安排等对比赛结果的影响。这可能导致结论不够全面和准确。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其次，该研究只涉及土耳其超级联赛，而没有考虑其他国家或地区的联赛。这也可能导致结论不具有普适性。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此外，在文章中并未提到作者是否注意到可能存在的风险或偏差，并且未平等地呈现双方观点。同时，文章也缺乏对所提出主张的充分证据支持和反驳探讨。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综上所述，该研究存在一些局限性和偏见，并需要更全面和客观地考虑各种因素来得出更准确的结论。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game results
</w:t>
      </w:r>
    </w:p>
    <w:p>
      <w:pPr>
        <w:spacing w:after="0"/>
        <w:numPr>
          <w:ilvl w:val="0"/>
          <w:numId w:val="2"/>
        </w:numPr>
      </w:pPr>
      <w:r>
        <w:rPr/>
        <w:t xml:space="preserve">Player status</w:t>
      </w:r>
    </w:p>
    <w:p>
      <w:pPr>
        <w:spacing w:after="0"/>
        <w:numPr>
          <w:ilvl w:val="0"/>
          <w:numId w:val="2"/>
        </w:numPr>
      </w:pPr>
      <w:r>
        <w:rPr/>
        <w:t xml:space="preserve">injuries</w:t>
      </w:r>
    </w:p>
    <w:p>
      <w:pPr>
        <w:spacing w:after="0"/>
        <w:numPr>
          <w:ilvl w:val="0"/>
          <w:numId w:val="2"/>
        </w:numPr>
      </w:pPr>
      <w:r>
        <w:rPr/>
        <w:t xml:space="preserve">and tactical arrangements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only considering technical indicators
</w:t>
      </w:r>
    </w:p>
    <w:p>
      <w:pPr>
        <w:spacing w:after="0"/>
        <w:numPr>
          <w:ilvl w:val="0"/>
          <w:numId w:val="2"/>
        </w:numPr>
      </w:pPr>
      <w:r>
        <w:rPr/>
        <w:t xml:space="preserve">Lack of universality due to only focusing on Turkish Super League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risks not addressed by the author
</w:t>
      </w:r>
    </w:p>
    <w:p>
      <w:pPr>
        <w:numPr>
          <w:ilvl w:val="0"/>
          <w:numId w:val="2"/>
        </w:numPr>
      </w:pPr>
      <w:r>
        <w:rPr/>
        <w:t xml:space="preserve">Insufficient evidence to support or refute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https://www.fullpicture.app/item/e71a10f9ccb6ae9dab65e74a71d62f88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6DD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eriodicos.fclar.unesp.br/rpge/article/view/15494" TargetMode="External"/><Relationship Id="rId8" Type="http://schemas.openxmlformats.org/officeDocument/2006/relationships/hyperlink" Target="https://www.fullpicture.app/item/e71a10f9ccb6ae9dab65e74a71d62f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2023-03-16T08:00:57+01:00</dcterms:created>
  <dcterms:modified xsi:type="dcterms:W3CDTF">2023-03-16T08:00:57+01:00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