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Fair and Equitable Treatment and Investor’s Due Diligence Under International Investment Law | Netherlands International Law Review</w:t>
      </w:r>
      <w:br/>
      <w:hyperlink r:id="rId7" w:history="1">
        <w:r>
          <w:rPr>
            <w:color w:val="2980b9"/>
            <w:u w:val="single"/>
          </w:rPr>
          <w:t xml:space="preserve">https://webvpn.xmu.edu.cn/https/77726476706e69737468656265737421fcfe4f976923784277068ea98a1b203a54/article/10.1007/s40802-020-00170-7</w:t>
        </w:r>
      </w:hyperlink>
    </w:p>
    <w:p>
      <w:pPr>
        <w:pStyle w:val="Heading1"/>
      </w:pPr>
      <w:bookmarkStart w:id="2" w:name="_Toc2"/>
      <w:r>
        <w:t>Article summary:</w:t>
      </w:r>
      <w:bookmarkEnd w:id="2"/>
    </w:p>
    <w:p>
      <w:pPr>
        <w:jc w:val="both"/>
      </w:pPr>
      <w:r>
        <w:rPr/>
        <w:t xml:space="preserve">1. The investor's due diligence is crucial in determining whether their legitimate expectations are protected under the fair and equitable treatment (FET) standard in international investment law.</w:t>
      </w:r>
    </w:p>
    <w:p>
      <w:pPr>
        <w:jc w:val="both"/>
      </w:pPr>
      <w:r>
        <w:rPr/>
        <w:t xml:space="preserve">2. Due diligence goes beyond the risk-based business due diligence performed by investors for their own benefit and extends to assessing risks related to the economic and socio-political background of a host state.</w:t>
      </w:r>
    </w:p>
    <w:p>
      <w:pPr>
        <w:jc w:val="both"/>
      </w:pPr>
      <w:r>
        <w:rPr/>
        <w:t xml:space="preserve">3. Tribunals are increasingly referring to an investor's duty to exercise due diligence, which helps balance the host state's right to regulate against the legitimate expectations of an investor. A due diligence tool can ensure predictability and consistency in this balancing act.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似乎倾向于支持投资者的合法期望受到保护，并将其视为国际投资法中公平和公正待遇标准的核心组成部分。然而，文章没有提供足够的证据或论证来支持这一立场，也没有探讨可能存在的其他观点或争议。</w:t>
      </w:r>
    </w:p>
    <w:p>
      <w:pPr>
        <w:jc w:val="both"/>
      </w:pPr>
      <w:r>
        <w:rPr/>
        <w:t xml:space="preserve"/>
      </w:r>
    </w:p>
    <w:p>
      <w:pPr>
        <w:jc w:val="both"/>
      </w:pPr>
      <w:r>
        <w:rPr/>
        <w:t xml:space="preserve">2. 片面报道：文章主要关注了投资者的尽职调查义务以及其在FET标准下的作用，但未充分考虑国家在公共利益中进行监管的权利。这导致了对平衡投资者合法期望和国家监管权利之间关系的不完整理解。</w:t>
      </w:r>
    </w:p>
    <w:p>
      <w:pPr>
        <w:jc w:val="both"/>
      </w:pPr>
      <w:r>
        <w:rPr/>
        <w:t xml:space="preserve"/>
      </w:r>
    </w:p>
    <w:p>
      <w:pPr>
        <w:jc w:val="both"/>
      </w:pPr>
      <w:r>
        <w:rPr/>
        <w:t xml:space="preserve">3. 无根据的主张：文章声称，近年来仲裁庭在权衡国家监管权利与投资者合法期望之间时越来越多地提到了投资者行使尽职调查义务的必要性。然而，文章没有提供具体案例或引用相关研究来支持这一主张。</w:t>
      </w:r>
    </w:p>
    <w:p>
      <w:pPr>
        <w:jc w:val="both"/>
      </w:pPr>
      <w:r>
        <w:rPr/>
        <w:t xml:space="preserve"/>
      </w:r>
    </w:p>
    <w:p>
      <w:pPr>
        <w:jc w:val="both"/>
      </w:pPr>
      <w:r>
        <w:rPr/>
        <w:t xml:space="preserve">4. 缺失的考虑点：文章未涉及可能存在的其他因素，例如政治风险、不确定性和不可预测性对投资者尽职调查义务和合法期望的影响。这些因素可能会对投资者的合法期望和国家监管权利之间的平衡产生重要影响。</w:t>
      </w:r>
    </w:p>
    <w:p>
      <w:pPr>
        <w:jc w:val="both"/>
      </w:pPr>
      <w:r>
        <w:rPr/>
        <w:t xml:space="preserve"/>
      </w:r>
    </w:p>
    <w:p>
      <w:pPr>
        <w:jc w:val="both"/>
      </w:pPr>
      <w:r>
        <w:rPr/>
        <w:t xml:space="preserve">5. 所提出主张的缺失证据：文章没有提供足够的证据来支持其关于投资者尽职调查义务在FET标准下的作用以及其对国际投资法框架中负责任商业行为的潜在应用的主张。</w:t>
      </w:r>
    </w:p>
    <w:p>
      <w:pPr>
        <w:jc w:val="both"/>
      </w:pPr>
      <w:r>
        <w:rPr/>
        <w:t xml:space="preserve"/>
      </w:r>
    </w:p>
    <w:p>
      <w:pPr>
        <w:jc w:val="both"/>
      </w:pPr>
      <w:r>
        <w:rPr/>
        <w:t xml:space="preserve">6. 未探索的反驳：文章未涉及可能存在的反驳观点或争议，例如国家监管权利如何与投资者合法期望相平衡，以及尽职调查义务是否应该适用于所有类型的投资。</w:t>
      </w:r>
    </w:p>
    <w:p>
      <w:pPr>
        <w:jc w:val="both"/>
      </w:pPr>
      <w:r>
        <w:rPr/>
        <w:t xml:space="preserve"/>
      </w:r>
    </w:p>
    <w:p>
      <w:pPr>
        <w:jc w:val="both"/>
      </w:pPr>
      <w:r>
        <w:rPr/>
        <w:t xml:space="preserve">7. 宣传内容：文章似乎试图宣传投资者合法期望受到保护并强调尽职调查义务对此至关重要。然而，文章没有提供充分的论证或证据来支持这一立场，并忽略了其他可能存在的观点和争议。</w:t>
      </w:r>
    </w:p>
    <w:p>
      <w:pPr>
        <w:jc w:val="both"/>
      </w:pPr>
      <w:r>
        <w:rPr/>
        <w:t xml:space="preserve"/>
      </w:r>
    </w:p>
    <w:p>
      <w:pPr>
        <w:jc w:val="both"/>
      </w:pPr>
      <w:r>
        <w:rPr/>
        <w:t xml:space="preserve">8. 偏袒：文章似乎更倾向于支持投资者而不是国家，在讨论平衡投资者合法期望和国家监管权利时缺乏客观性和公正性。</w:t>
      </w:r>
    </w:p>
    <w:p>
      <w:pPr>
        <w:jc w:val="both"/>
      </w:pPr>
      <w:r>
        <w:rPr/>
        <w:t xml:space="preserve"/>
      </w:r>
    </w:p>
    <w:p>
      <w:pPr>
        <w:jc w:val="both"/>
      </w:pPr>
      <w:r>
        <w:rPr/>
        <w:t xml:space="preserve">9. 是否注意到可能的风险：文章未涉及可能存在的风险，例如投资者滥用合法期望保护权利的可能性，以及尽职调查义务如何应对不确定性和风险。</w:t>
      </w:r>
    </w:p>
    <w:p>
      <w:pPr>
        <w:jc w:val="both"/>
      </w:pPr>
      <w:r>
        <w:rPr/>
        <w:t xml:space="preserve"/>
      </w:r>
    </w:p>
    <w:p>
      <w:pPr>
        <w:jc w:val="both"/>
      </w:pPr>
      <w:r>
        <w:rPr/>
        <w:t xml:space="preserve">10. 没有平等地呈现双方：文章未能平等地呈现投资者和国家之间的利益冲突，并未探讨如何在保护投资者合法期望的同时维护国家监管权利。</w:t>
      </w:r>
    </w:p>
    <w:p>
      <w:pPr>
        <w:jc w:val="both"/>
      </w:pPr>
      <w:r>
        <w:rPr/>
        <w:t xml:space="preserve"/>
      </w:r>
    </w:p>
    <w:p>
      <w:pPr>
        <w:jc w:val="both"/>
      </w:pPr>
      <w:r>
        <w:rPr/>
        <w:t xml:space="preserve">总体而言，上述文章存在偏见、片面报道、无根据的主张、缺失的考虑点以及对反驳观点的忽视。它似乎更倾向于支持投资者并强调其合法期望受到保护的重要性，而忽略了国家监管权利和其他可能存在的观点和争议。</w:t>
      </w:r>
    </w:p>
    <w:p>
      <w:pPr>
        <w:pStyle w:val="Heading1"/>
      </w:pPr>
      <w:bookmarkStart w:id="5" w:name="_Toc5"/>
      <w:r>
        <w:t>Topics for further research:</w:t>
      </w:r>
      <w:bookmarkEnd w:id="5"/>
    </w:p>
    <w:p>
      <w:pPr>
        <w:spacing w:after="0"/>
        <w:numPr>
          <w:ilvl w:val="0"/>
          <w:numId w:val="2"/>
        </w:numPr>
      </w:pPr>
      <w:r>
        <w:rPr/>
        <w:t xml:space="preserve">投资者合法期望保护的争议
</w:t>
      </w:r>
    </w:p>
    <w:p>
      <w:pPr>
        <w:spacing w:after="0"/>
        <w:numPr>
          <w:ilvl w:val="0"/>
          <w:numId w:val="2"/>
        </w:numPr>
      </w:pPr>
      <w:r>
        <w:rPr/>
        <w:t xml:space="preserve">国家监管权利与投资者合法期望的平衡
</w:t>
      </w:r>
    </w:p>
    <w:p>
      <w:pPr>
        <w:spacing w:after="0"/>
        <w:numPr>
          <w:ilvl w:val="0"/>
          <w:numId w:val="2"/>
        </w:numPr>
      </w:pPr>
      <w:r>
        <w:rPr/>
        <w:t xml:space="preserve">投资者尽职调查义务的必要性
</w:t>
      </w:r>
    </w:p>
    <w:p>
      <w:pPr>
        <w:spacing w:after="0"/>
        <w:numPr>
          <w:ilvl w:val="0"/>
          <w:numId w:val="2"/>
        </w:numPr>
      </w:pPr>
      <w:r>
        <w:rPr/>
        <w:t xml:space="preserve">政治风险、不确定性和不可预测性对投资者合法期望的影响
</w:t>
      </w:r>
    </w:p>
    <w:p>
      <w:pPr>
        <w:spacing w:after="0"/>
        <w:numPr>
          <w:ilvl w:val="0"/>
          <w:numId w:val="2"/>
        </w:numPr>
      </w:pPr>
      <w:r>
        <w:rPr/>
        <w:t xml:space="preserve">投资者尽职调查义务在国际投资法框架中的应用
</w:t>
      </w:r>
    </w:p>
    <w:p>
      <w:pPr>
        <w:numPr>
          <w:ilvl w:val="0"/>
          <w:numId w:val="2"/>
        </w:numPr>
      </w:pPr>
      <w:r>
        <w:rPr/>
        <w:t xml:space="preserve">尽职调查义务是否适用于所有类型的投资</w:t>
      </w:r>
    </w:p>
    <w:p>
      <w:pPr>
        <w:pStyle w:val="Heading1"/>
      </w:pPr>
      <w:bookmarkStart w:id="6" w:name="_Toc6"/>
      <w:r>
        <w:t>Report location:</w:t>
      </w:r>
      <w:bookmarkEnd w:id="6"/>
    </w:p>
    <w:p>
      <w:hyperlink r:id="rId8" w:history="1">
        <w:r>
          <w:rPr>
            <w:color w:val="2980b9"/>
            <w:u w:val="single"/>
          </w:rPr>
          <w:t xml:space="preserve">https://www.fullpicture.app/item/e6cb45c3f0e57c12f9fe19fd793d259f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E532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xmu.edu.cn/https/77726476706e69737468656265737421fcfe4f976923784277068ea98a1b203a54/article/10.1007/s40802-020-00170-7" TargetMode="External"/><Relationship Id="rId8" Type="http://schemas.openxmlformats.org/officeDocument/2006/relationships/hyperlink" Target="https://www.fullpicture.app/item/e6cb45c3f0e57c12f9fe19fd793d25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2023-11-18T20:19:28+01:00</dcterms:created>
  <dcterms:modified xsi:type="dcterms:W3CDTF">2023-11-18T20:19:28+01:00</dcterms:modified>
</cp:coreProperties>
</file>

<file path=docProps/custom.xml><?xml version="1.0" encoding="utf-8"?>
<Properties xmlns="http://schemas.openxmlformats.org/officeDocument/2006/custom-properties" xmlns:vt="http://schemas.openxmlformats.org/officeDocument/2006/docPropsVTypes"/>
</file>