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Critical success factors associated with the implementation of enterprise risk management</w:t>
      </w:r>
      <w:br/>
      <w:hyperlink r:id="rId7" w:history="1">
        <w:r>
          <w:rPr>
            <w:color w:val="2980b9"/>
            <w:u w:val="single"/>
          </w:rPr>
          <w:t xml:space="preserve">https://www.tandfonline.com/doi/full/10.1080/13669877.2018.1437061</w:t>
        </w:r>
      </w:hyperlink>
    </w:p>
    <w:p>
      <w:pPr>
        <w:pStyle w:val="Heading1"/>
      </w:pPr>
      <w:bookmarkStart w:id="2" w:name="_Toc2"/>
      <w:r>
        <w:t>Article summary:</w:t>
      </w:r>
      <w:bookmarkEnd w:id="2"/>
    </w:p>
    <w:p>
      <w:pPr>
        <w:jc w:val="both"/>
      </w:pPr>
      <w:r>
        <w:rPr/>
        <w:t xml:space="preserve">1. The implementation of Enterprise Risk Management (ERM) has become increasingly important for organizations, especially after the financial crisis of 2008 and the expansion of regulations related to effective management and corporate governance.</w:t>
      </w:r>
    </w:p>
    <w:p>
      <w:pPr>
        <w:jc w:val="both"/>
      </w:pPr>
      <w:r>
        <w:rPr/>
        <w:t xml:space="preserve">2. Critical Success Factors (CSFs) play a crucial role in the successful implementation of ERM, as they help identify potential flaws during the planning phase and ensure that actions are aligned with the CSFs.</w:t>
      </w:r>
    </w:p>
    <w:p>
      <w:pPr>
        <w:jc w:val="both"/>
      </w:pPr>
      <w:r>
        <w:rPr/>
        <w:t xml:space="preserve">3. Risk governance, which includes legal, institutional, social, and economic contexts, is an essential aspect of ERM and involves collaboration and coordination among various stakeholders to evaluate, manage, and communicate risks effectively.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该文章提出了企业风险管理的关键成功因素，但存在一些潜在偏见和不足之处。</w:t>
      </w:r>
    </w:p>
    <w:p>
      <w:pPr>
        <w:jc w:val="both"/>
      </w:pPr>
      <w:r>
        <w:rPr/>
        <w:t xml:space="preserve"/>
      </w:r>
    </w:p>
    <w:p>
      <w:pPr>
        <w:jc w:val="both"/>
      </w:pPr>
      <w:r>
        <w:rPr/>
        <w:t xml:space="preserve">首先，文章过于强调金融危机后的变革和监管对企业风险管理的影响，而忽略了其他行业和领域中风险管理的重要性。此外，文章没有提供足够的证据来支持其主张，例如没有具体列举实施企业风险管理所面临的挑战和障碍。</w:t>
      </w:r>
    </w:p>
    <w:p>
      <w:pPr>
        <w:jc w:val="both"/>
      </w:pPr>
      <w:r>
        <w:rPr/>
        <w:t xml:space="preserve"/>
      </w:r>
    </w:p>
    <w:p>
      <w:pPr>
        <w:jc w:val="both"/>
      </w:pPr>
      <w:r>
        <w:rPr/>
        <w:t xml:space="preserve">其次，文章将企业风险管理视为一种单一方法论，并未探讨其他可能的方法或策略。此外，文章没有考虑到不同组织之间文化、流程、技术和管理策略等方面的差异性。</w:t>
      </w:r>
    </w:p>
    <w:p>
      <w:pPr>
        <w:jc w:val="both"/>
      </w:pPr>
      <w:r>
        <w:rPr/>
        <w:t xml:space="preserve"/>
      </w:r>
    </w:p>
    <w:p>
      <w:pPr>
        <w:jc w:val="both"/>
      </w:pPr>
      <w:r>
        <w:rPr/>
        <w:t xml:space="preserve">第三，文章过于强调风险治理和GRC（治理、风险和合规）框架对企业风险管理的重要性，并未探讨其他可能的框架或方法。此外，文章没有充分考虑到利益相关者之间可能存在的冲突或竞争关系。</w:t>
      </w:r>
    </w:p>
    <w:p>
      <w:pPr>
        <w:jc w:val="both"/>
      </w:pPr>
      <w:r>
        <w:rPr/>
        <w:t xml:space="preserve"/>
      </w:r>
    </w:p>
    <w:p>
      <w:pPr>
        <w:jc w:val="both"/>
      </w:pPr>
      <w:r>
        <w:rPr/>
        <w:t xml:space="preserve">最后，该文章缺乏平衡报道双方观点的内容，并未探讨反驳意见或潜在风险。此外，在宣传企业风险管理时也存在一定的偏袒和宣传内容。</w:t>
      </w:r>
    </w:p>
    <w:p>
      <w:pPr>
        <w:pStyle w:val="Heading1"/>
      </w:pPr>
      <w:bookmarkStart w:id="5" w:name="_Toc5"/>
      <w:r>
        <w:t>Topics for further research:</w:t>
      </w:r>
      <w:bookmarkEnd w:id="5"/>
    </w:p>
    <w:p>
      <w:pPr>
        <w:spacing w:after="0"/>
        <w:numPr>
          <w:ilvl w:val="0"/>
          <w:numId w:val="2"/>
        </w:numPr>
      </w:pPr>
      <w:r>
        <w:rPr/>
        <w:t xml:space="preserve">Importance of risk management in different industries and sectors
</w:t>
      </w:r>
    </w:p>
    <w:p>
      <w:pPr>
        <w:spacing w:after="0"/>
        <w:numPr>
          <w:ilvl w:val="0"/>
          <w:numId w:val="2"/>
        </w:numPr>
      </w:pPr>
      <w:r>
        <w:rPr/>
        <w:t xml:space="preserve">Exploration of alternative methods and strategies for risk management
</w:t>
      </w:r>
    </w:p>
    <w:p>
      <w:pPr>
        <w:spacing w:after="0"/>
        <w:numPr>
          <w:ilvl w:val="0"/>
          <w:numId w:val="2"/>
        </w:numPr>
      </w:pPr>
      <w:r>
        <w:rPr/>
        <w:t xml:space="preserve">Consideration of cultural</w:t>
      </w:r>
    </w:p>
    <w:p>
      <w:pPr>
        <w:spacing w:after="0"/>
        <w:numPr>
          <w:ilvl w:val="0"/>
          <w:numId w:val="2"/>
        </w:numPr>
      </w:pPr>
      <w:r>
        <w:rPr/>
        <w:t xml:space="preserve">process</w:t>
      </w:r>
    </w:p>
    <w:p>
      <w:pPr>
        <w:spacing w:after="0"/>
        <w:numPr>
          <w:ilvl w:val="0"/>
          <w:numId w:val="2"/>
        </w:numPr>
      </w:pPr>
      <w:r>
        <w:rPr/>
        <w:t xml:space="preserve">technological</w:t>
      </w:r>
    </w:p>
    <w:p>
      <w:pPr>
        <w:spacing w:after="0"/>
        <w:numPr>
          <w:ilvl w:val="0"/>
          <w:numId w:val="2"/>
        </w:numPr>
      </w:pPr>
      <w:r>
        <w:rPr/>
        <w:t xml:space="preserve">and management differences between organizations
</w:t>
      </w:r>
    </w:p>
    <w:p>
      <w:pPr>
        <w:spacing w:after="0"/>
        <w:numPr>
          <w:ilvl w:val="0"/>
          <w:numId w:val="2"/>
        </w:numPr>
      </w:pPr>
      <w:r>
        <w:rPr/>
        <w:t xml:space="preserve">Examination of other possible frameworks or methods for risk management
</w:t>
      </w:r>
    </w:p>
    <w:p>
      <w:pPr>
        <w:spacing w:after="0"/>
        <w:numPr>
          <w:ilvl w:val="0"/>
          <w:numId w:val="2"/>
        </w:numPr>
      </w:pPr>
      <w:r>
        <w:rPr/>
        <w:t xml:space="preserve">Acknowledgment of potential conflicts or competition among stakeholders
</w:t>
      </w:r>
    </w:p>
    <w:p>
      <w:pPr>
        <w:numPr>
          <w:ilvl w:val="0"/>
          <w:numId w:val="2"/>
        </w:numPr>
      </w:pPr>
      <w:r>
        <w:rPr/>
        <w:t xml:space="preserve">Balanced reporting of opposing viewpoints and potential risks.</w:t>
      </w:r>
    </w:p>
    <w:p>
      <w:pPr>
        <w:pStyle w:val="Heading1"/>
      </w:pPr>
      <w:bookmarkStart w:id="6" w:name="_Toc6"/>
      <w:r>
        <w:t>Report location:</w:t>
      </w:r>
      <w:bookmarkEnd w:id="6"/>
    </w:p>
    <w:p>
      <w:hyperlink r:id="rId8" w:history="1">
        <w:r>
          <w:rPr>
            <w:color w:val="2980b9"/>
            <w:u w:val="single"/>
          </w:rPr>
          <w:t xml:space="preserve">https://www.fullpicture.app/item/e517d0b483673f261361c3fac45fc661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A29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669877.2018.1437061" TargetMode="External"/><Relationship Id="rId8" Type="http://schemas.openxmlformats.org/officeDocument/2006/relationships/hyperlink" Target="https://www.fullpicture.app/item/e517d0b483673f261361c3fac45fc6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2023-12-17T12:31:39+01:00</dcterms:created>
  <dcterms:modified xsi:type="dcterms:W3CDTF">2023-12-17T12:31:39+01:00</dcterms:modified>
</cp:coreProperties>
</file>

<file path=docProps/custom.xml><?xml version="1.0" encoding="utf-8"?>
<Properties xmlns="http://schemas.openxmlformats.org/officeDocument/2006/custom-properties" xmlns:vt="http://schemas.openxmlformats.org/officeDocument/2006/docPropsVTypes"/>
</file>