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Being There — Real Life</w:t>
      </w:r>
      <w:br/>
      <w:hyperlink r:id="rId7" w:history="1">
        <w:r>
          <w:rPr>
            <w:color w:val="2980b9"/>
            <w:u w:val="single"/>
          </w:rPr>
          <w:t xml:space="preserve">https://reallifemag.com/being-there/</w:t>
        </w:r>
      </w:hyperlink>
    </w:p>
    <w:p>
      <w:pPr>
        <w:pStyle w:val="Heading1"/>
      </w:pPr>
      <w:bookmarkStart w:id="2" w:name="_Toc2"/>
      <w:r>
        <w:t>Article summary:</w:t>
      </w:r>
      <w:bookmarkEnd w:id="2"/>
    </w:p>
    <w:p>
      <w:pPr>
        <w:jc w:val="both"/>
      </w:pPr>
      <w:r>
        <w:rPr/>
        <w:t xml:space="preserve">1. Online activism has evolved beyond traditional notions of "Facebook warriors" and can have material effects on the physical world.</w:t>
      </w:r>
    </w:p>
    <w:p>
      <w:pPr>
        <w:jc w:val="both"/>
      </w:pPr>
      <w:r>
        <w:rPr/>
        <w:t xml:space="preserve">2. An object-oriented approach to digital content recognizes its agency and impact on shaping understandings of humanity and human rights.</w:t>
      </w:r>
    </w:p>
    <w:p>
      <w:pPr>
        <w:jc w:val="both"/>
      </w:pPr>
      <w:r>
        <w:rPr/>
        <w:t xml:space="preserve">3. Online content can generate presence and produce critical moments of ephemeral belonging, but ethical considerations arise around ownership and exploitation of user-generated content.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explores the relationship between online and offline activism, arguing that online activism cannot be dismissed as unreal or immaterial. The author challenges Malcolm Gladwell's opposition of "real-world" activism to decentralized networks of social media activism, arguing that online organizing has evolved beyond Gladwell's notion of "Facebook warriors." The author also discusses the material effects of our online representations of self and how they reshape understandings of what it means to be human. </w:t>
      </w:r>
    </w:p>
    <w:p>
      <w:pPr>
        <w:jc w:val="both"/>
      </w:pPr>
      <w:r>
        <w:rPr/>
        <w:t xml:space="preserve"/>
      </w:r>
    </w:p>
    <w:p>
      <w:pPr>
        <w:jc w:val="both"/>
      </w:pPr>
      <w:r>
        <w:rPr/>
        <w:t xml:space="preserve">While the article provides a thought-provoking analysis, there are some potential biases and missing points of consideration. For example, the author does not fully explore the limitations and risks associated with online activism, such as the potential for echo chambers and the spread of misinformation. Additionally, while the author acknowledges that end user licensing agreements and terms of service establish a platform's legal rights to any content, they do not fully address concerns around privacy and data ownership.</w:t>
      </w:r>
    </w:p>
    <w:p>
      <w:pPr>
        <w:jc w:val="both"/>
      </w:pPr>
      <w:r>
        <w:rPr/>
        <w:t xml:space="preserve"/>
      </w:r>
    </w:p>
    <w:p>
      <w:pPr>
        <w:jc w:val="both"/>
      </w:pPr>
      <w:r>
        <w:rPr/>
        <w:t xml:space="preserve">Furthermore, while the article highlights the agency of digital objects in shaping our understanding of humanity, it does not fully consider how this agency can be co-opted by powerful actors for their own interests. For example, social media algorithms can reinforce existing power structures by promoting certain voices over others.</w:t>
      </w:r>
    </w:p>
    <w:p>
      <w:pPr>
        <w:jc w:val="both"/>
      </w:pPr>
      <w:r>
        <w:rPr/>
        <w:t xml:space="preserve"/>
      </w:r>
    </w:p>
    <w:p>
      <w:pPr>
        <w:jc w:val="both"/>
      </w:pPr>
      <w:r>
        <w:rPr/>
        <w:t xml:space="preserve">Overall, while the article provides an interesting perspective on the relationship between online and offline activism and the agency of digital objects, it could benefit from a more nuanced exploration of potential limitations and risks associated with these phenomena.</w:t>
      </w:r>
    </w:p>
    <w:p>
      <w:pPr>
        <w:pStyle w:val="Heading1"/>
      </w:pPr>
      <w:bookmarkStart w:id="5" w:name="_Toc5"/>
      <w:r>
        <w:t>Topics for further research:</w:t>
      </w:r>
      <w:bookmarkEnd w:id="5"/>
    </w:p>
    <w:p>
      <w:pPr>
        <w:spacing w:after="0"/>
        <w:numPr>
          <w:ilvl w:val="0"/>
          <w:numId w:val="2"/>
        </w:numPr>
      </w:pPr>
      <w:r>
        <w:rPr/>
        <w:t xml:space="preserve">Limitations of online activism
</w:t>
      </w:r>
    </w:p>
    <w:p>
      <w:pPr>
        <w:spacing w:after="0"/>
        <w:numPr>
          <w:ilvl w:val="0"/>
          <w:numId w:val="2"/>
        </w:numPr>
      </w:pPr>
      <w:r>
        <w:rPr/>
        <w:t xml:space="preserve">Risks of echo chambers in social media
</w:t>
      </w:r>
    </w:p>
    <w:p>
      <w:pPr>
        <w:spacing w:after="0"/>
        <w:numPr>
          <w:ilvl w:val="0"/>
          <w:numId w:val="2"/>
        </w:numPr>
      </w:pPr>
      <w:r>
        <w:rPr/>
        <w:t xml:space="preserve">Misinformation in online activism
</w:t>
      </w:r>
    </w:p>
    <w:p>
      <w:pPr>
        <w:spacing w:after="0"/>
        <w:numPr>
          <w:ilvl w:val="0"/>
          <w:numId w:val="2"/>
        </w:numPr>
      </w:pPr>
      <w:r>
        <w:rPr/>
        <w:t xml:space="preserve">Privacy concerns in online activism
</w:t>
      </w:r>
    </w:p>
    <w:p>
      <w:pPr>
        <w:spacing w:after="0"/>
        <w:numPr>
          <w:ilvl w:val="0"/>
          <w:numId w:val="2"/>
        </w:numPr>
      </w:pPr>
      <w:r>
        <w:rPr/>
        <w:t xml:space="preserve">Data ownership in social media platforms
</w:t>
      </w:r>
    </w:p>
    <w:p>
      <w:pPr>
        <w:numPr>
          <w:ilvl w:val="0"/>
          <w:numId w:val="2"/>
        </w:numPr>
      </w:pPr>
      <w:r>
        <w:rPr/>
        <w:t xml:space="preserve">Co-opting of social media algorithms by powerful actors</w:t>
      </w:r>
    </w:p>
    <w:p>
      <w:pPr>
        <w:pStyle w:val="Heading1"/>
      </w:pPr>
      <w:bookmarkStart w:id="6" w:name="_Toc6"/>
      <w:r>
        <w:t>Report location:</w:t>
      </w:r>
      <w:bookmarkEnd w:id="6"/>
    </w:p>
    <w:p>
      <w:hyperlink r:id="rId8" w:history="1">
        <w:r>
          <w:rPr>
            <w:color w:val="2980b9"/>
            <w:u w:val="single"/>
          </w:rPr>
          <w:t xml:space="preserve">https://www.fullpicture.app/item/e4822bba7b727a2ea3501067843a8aed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8EE0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llifemag.com/being-there/" TargetMode="External"/><Relationship Id="rId8" Type="http://schemas.openxmlformats.org/officeDocument/2006/relationships/hyperlink" Target="https://www.fullpicture.app/item/e4822bba7b727a2ea3501067843a8a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2024-01-09T19:16:47+01:00</dcterms:created>
  <dcterms:modified xsi:type="dcterms:W3CDTF">2024-01-09T19:16:47+01:00</dcterms:modified>
</cp:coreProperties>
</file>

<file path=docProps/custom.xml><?xml version="1.0" encoding="utf-8"?>
<Properties xmlns="http://schemas.openxmlformats.org/officeDocument/2006/custom-properties" xmlns:vt="http://schemas.openxmlformats.org/officeDocument/2006/docPropsVTypes"/>
</file>