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Effect of Creative Labor on Property-Ownership Transfer by Preschool Children and Adults - Patricia Kanngiesser, Nathalia Gjersoe, Bruce M. Hood, 2010</w:t>
      </w:r>
      <w:br/>
      <w:hyperlink r:id="rId7" w:history="1">
        <w:r>
          <w:rPr>
            <w:color w:val="2980b9"/>
            <w:u w:val="single"/>
          </w:rPr>
          <w:t xml:space="preserve">https://journals-sagepub-com.myaccess.library.utoronto.ca/doi/10.1177/0956797610380701</w:t>
        </w:r>
      </w:hyperlink>
    </w:p>
    <w:p>
      <w:pPr>
        <w:pStyle w:val="Heading1"/>
      </w:pPr>
      <w:bookmarkStart w:id="2" w:name="_Toc2"/>
      <w:r>
        <w:t>Article summary:</w:t>
      </w:r>
      <w:bookmarkEnd w:id="2"/>
    </w:p>
    <w:p>
      <w:pPr>
        <w:jc w:val="both"/>
      </w:pPr>
      <w:r>
        <w:rPr/>
        <w:t xml:space="preserve">1. Preschool children and adults are more likely to transfer ownership of a property to someone who invested creative labor in it.</w:t>
      </w:r>
    </w:p>
    <w:p>
      <w:pPr>
        <w:jc w:val="both"/>
      </w:pPr>
      <w:r>
        <w:rPr/>
        <w:t xml:space="preserve">2. This effect is stronger in preschool children than in adults.</w:t>
      </w:r>
    </w:p>
    <w:p>
      <w:pPr>
        <w:jc w:val="both"/>
      </w:pPr>
      <w:r>
        <w:rPr/>
        <w:t xml:space="preserve">3. Duration of manipulation and changes in the object's identity have little effect on property-ownership transfer, indicating that determining property ownership may be an intuitive process that emerges in early childhood.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Effect of Creative Labor on Property-Ownership Transfer by Preschool Children and Adults" by Kanngiesser, Gjersoe, and Hood investigates how ownership of property is transferred through creative labor. The study involved a craft-making situation where participants were given modeling clay to create new objects. The results showed that participants were more likely to transfer ownership to the person who invested creative labor in the object than in other conditions such as possession or making small changes. This effect was stronger in preschool children than in adults.</w:t>
      </w:r>
    </w:p>
    <w:p>
      <w:pPr>
        <w:jc w:val="both"/>
      </w:pPr>
      <w:r>
        <w:rPr/>
        <w:t xml:space="preserve"/>
      </w:r>
    </w:p>
    <w:p>
      <w:pPr>
        <w:jc w:val="both"/>
      </w:pPr>
      <w:r>
        <w:rPr/>
        <w:t xml:space="preserve">The article provides valuable insights into how young children and adults make ownership judgments when engaged in real-life scenarios. However, there are some potential biases and limitations to consider. Firstly, the sample size is relatively small, with only 23 three-year-olds, 22 four-year-olds, and 21 adults participating. This may limit the generalizability of the findings to larger populations.</w:t>
      </w:r>
    </w:p>
    <w:p>
      <w:pPr>
        <w:jc w:val="both"/>
      </w:pPr>
      <w:r>
        <w:rPr/>
        <w:t xml:space="preserve"/>
      </w:r>
    </w:p>
    <w:p>
      <w:pPr>
        <w:jc w:val="both"/>
      </w:pPr>
      <w:r>
        <w:rPr/>
        <w:t xml:space="preserve">Secondly, the study only investigated one type of creative labor (molding clay), which may not be representative of all types of creative labor. It would be interesting to see if similar results are found with other types of creative labor such as painting or drawing.</w:t>
      </w:r>
    </w:p>
    <w:p>
      <w:pPr>
        <w:jc w:val="both"/>
      </w:pPr>
      <w:r>
        <w:rPr/>
        <w:t xml:space="preserve"/>
      </w:r>
    </w:p>
    <w:p>
      <w:pPr>
        <w:jc w:val="both"/>
      </w:pPr>
      <w:r>
        <w:rPr/>
        <w:t xml:space="preserve">Thirdly, the study did not investigate cultural differences in ownership judgments. Ownership norms vary across cultures, and it would be interesting to see if these differences affect ownership transfers through creative labor.</w:t>
      </w:r>
    </w:p>
    <w:p>
      <w:pPr>
        <w:jc w:val="both"/>
      </w:pPr>
      <w:r>
        <w:rPr/>
        <w:t xml:space="preserve"/>
      </w:r>
    </w:p>
    <w:p>
      <w:pPr>
        <w:jc w:val="both"/>
      </w:pPr>
      <w:r>
        <w:rPr/>
        <w:t xml:space="preserve">Fourthly, the study did not explore counterarguments or alternative explanations for why participants transferred ownership after investing creative labor. For example, it could be argued that participants transferred ownership because they felt a sense of attachment or emotional connection to the object they created.</w:t>
      </w:r>
    </w:p>
    <w:p>
      <w:pPr>
        <w:jc w:val="both"/>
      </w:pPr>
      <w:r>
        <w:rPr/>
        <w:t xml:space="preserve"/>
      </w:r>
    </w:p>
    <w:p>
      <w:pPr>
        <w:jc w:val="both"/>
      </w:pPr>
      <w:r>
        <w:rPr/>
        <w:t xml:space="preserve">Finally, while the article notes that determining property ownership may be an intuitive process that emerges in early childhood, it does not explore why this might be the case or what implications this has for society as a whole.</w:t>
      </w:r>
    </w:p>
    <w:p>
      <w:pPr>
        <w:jc w:val="both"/>
      </w:pPr>
      <w:r>
        <w:rPr/>
        <w:t xml:space="preserve"/>
      </w:r>
    </w:p>
    <w:p>
      <w:pPr>
        <w:jc w:val="both"/>
      </w:pPr>
      <w:r>
        <w:rPr/>
        <w:t xml:space="preserve">In conclusion, while "The Effect of Creative Labor on Property-Ownership Transfer by Preschool Children and Adults" provides valuable insights into ownership transfers through creative labor, there are potential biases and limitations to consider. Further research is needed to explore the generalizability of the findings, cultural differences in ownership judgments, alternative explanations for ownership transfers, and the implications of early childhood intuition for society as a whole.</w:t>
      </w:r>
    </w:p>
    <w:p>
      <w:pPr>
        <w:pStyle w:val="Heading1"/>
      </w:pPr>
      <w:bookmarkStart w:id="5" w:name="_Toc5"/>
      <w:r>
        <w:t>Topics for further research:</w:t>
      </w:r>
      <w:bookmarkEnd w:id="5"/>
    </w:p>
    <w:p>
      <w:pPr>
        <w:spacing w:after="0"/>
        <w:numPr>
          <w:ilvl w:val="0"/>
          <w:numId w:val="2"/>
        </w:numPr>
      </w:pPr>
      <w:r>
        <w:rPr/>
        <w:t xml:space="preserve">Cultural differences in ownership norms and practices
</w:t>
      </w:r>
    </w:p>
    <w:p>
      <w:pPr>
        <w:spacing w:after="0"/>
        <w:numPr>
          <w:ilvl w:val="0"/>
          <w:numId w:val="2"/>
        </w:numPr>
      </w:pPr>
      <w:r>
        <w:rPr/>
        <w:t xml:space="preserve">Emotional attachment and ownership transfer
</w:t>
      </w:r>
    </w:p>
    <w:p>
      <w:pPr>
        <w:spacing w:after="0"/>
        <w:numPr>
          <w:ilvl w:val="0"/>
          <w:numId w:val="2"/>
        </w:numPr>
      </w:pPr>
      <w:r>
        <w:rPr/>
        <w:t xml:space="preserve">Types of creative labor and ownership transfer
</w:t>
      </w:r>
    </w:p>
    <w:p>
      <w:pPr>
        <w:spacing w:after="0"/>
        <w:numPr>
          <w:ilvl w:val="0"/>
          <w:numId w:val="2"/>
        </w:numPr>
      </w:pPr>
      <w:r>
        <w:rPr/>
        <w:t xml:space="preserve">Development of ownership concepts in early childhood
</w:t>
      </w:r>
    </w:p>
    <w:p>
      <w:pPr>
        <w:spacing w:after="0"/>
        <w:numPr>
          <w:ilvl w:val="0"/>
          <w:numId w:val="2"/>
        </w:numPr>
      </w:pPr>
      <w:r>
        <w:rPr/>
        <w:t xml:space="preserve">Social and legal implications of ownership transfers through creative labor
</w:t>
      </w:r>
    </w:p>
    <w:p>
      <w:pPr>
        <w:numPr>
          <w:ilvl w:val="0"/>
          <w:numId w:val="2"/>
        </w:numPr>
      </w:pPr>
      <w:r>
        <w:rPr/>
        <w:t xml:space="preserve">Ownership disputes and conflict resolution in different cultures and contexts</w:t>
      </w:r>
    </w:p>
    <w:p>
      <w:pPr>
        <w:pStyle w:val="Heading1"/>
      </w:pPr>
      <w:bookmarkStart w:id="6" w:name="_Toc6"/>
      <w:r>
        <w:t>Report location:</w:t>
      </w:r>
      <w:bookmarkEnd w:id="6"/>
    </w:p>
    <w:p>
      <w:hyperlink r:id="rId8" w:history="1">
        <w:r>
          <w:rPr>
            <w:color w:val="2980b9"/>
            <w:u w:val="single"/>
          </w:rPr>
          <w:t xml:space="preserve">https://www.fullpicture.app/item/e31e5ea06a847a14a658a9f0d4cebf9c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8F59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myaccess.library.utoronto.ca/doi/10.1177/0956797610380701" TargetMode="External"/><Relationship Id="rId8" Type="http://schemas.openxmlformats.org/officeDocument/2006/relationships/hyperlink" Target="https://www.fullpicture.app/item/e31e5ea06a847a14a658a9f0d4cebf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2023-06-25T15:23:54+02:00</dcterms:created>
  <dcterms:modified xsi:type="dcterms:W3CDTF">2023-06-25T15:23:54+02:00</dcterms:modified>
</cp:coreProperties>
</file>

<file path=docProps/custom.xml><?xml version="1.0" encoding="utf-8"?>
<Properties xmlns="http://schemas.openxmlformats.org/officeDocument/2006/custom-properties" xmlns:vt="http://schemas.openxmlformats.org/officeDocument/2006/docPropsVTypes"/>
</file>