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Nations cultural flows | Murray–Darling Basin Authority</w:t>
      </w:r>
      <w:br/>
      <w:hyperlink r:id="rId7" w:history="1">
        <w:r>
          <w:rPr>
            <w:color w:val="2980b9"/>
            <w:u w:val="single"/>
          </w:rPr>
          <w:t xml:space="preserve">https://www.mdba.gov.au/water-use/water-first-nations/first-nations-cultural-flows</w:t>
        </w:r>
      </w:hyperlink>
    </w:p>
    <w:p>
      <w:pPr>
        <w:pStyle w:val="Heading1"/>
      </w:pPr>
      <w:bookmarkStart w:id="2" w:name="_Toc2"/>
      <w:r>
        <w:t>Article summary:</w:t>
      </w:r>
      <w:bookmarkEnd w:id="2"/>
    </w:p>
    <w:p>
      <w:pPr>
        <w:jc w:val="both"/>
      </w:pPr>
      <w:r>
        <w:rPr/>
        <w:t xml:space="preserve">1. First Nations people in the Murray-Darling Basin have a strong spiritual connection to water and a moral obligation to care for it, as they have done for many thousands of years.</w:t>
      </w:r>
    </w:p>
    <w:p>
      <w:pPr>
        <w:jc w:val="both"/>
      </w:pPr>
      <w:r>
        <w:rPr/>
        <w:t xml:space="preserve">2. Cultural flows benefit practical activities like fishing, hunting, ceremonies, and harvesting medicinal plants and herbs, while also preserving important cultural assets.</w:t>
      </w:r>
    </w:p>
    <w:p>
      <w:pPr>
        <w:jc w:val="both"/>
      </w:pPr>
      <w:r>
        <w:rPr/>
        <w:t xml:space="preserve">3. The Murray-Darling Basin Authority supports establishing cultural flows and is collaborating with First Nations communities and Basin governments to integrate them into water management in the Basin.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"First Nations cultural flows | Murray–Darling Basin Authority" discusses the importance of cultural flows for First Nations people in the Murray-Darling Basin. While the article provides some valuable information about the spiritual connection and moral obligation that First Nations people have towards water, it also exhibits potential biases and lacks certain important considerations.</w:t>
      </w:r>
    </w:p>
    <w:p>
      <w:pPr>
        <w:jc w:val="both"/>
      </w:pPr>
      <w:r>
        <w:rPr/>
        <w:t xml:space="preserve"/>
      </w:r>
    </w:p>
    <w:p>
      <w:pPr>
        <w:jc w:val="both"/>
      </w:pPr>
      <w:r>
        <w:rPr/>
        <w:t xml:space="preserve">One potential bias in the article is its focus on promoting cultural flows without adequately addressing potential risks or drawbacks. The article emphasizes the benefits of cultural flows, such as supporting the right to use and manage water, preserving cultural heritage, and improving wellbeing. However, it fails to mention any potential challenges or conflicts that may arise from implementing cultural flows. For example, there could be conflicts between different First Nations groups over water allocations or disagreements with non-Indigenous stakeholders who rely on water resources for their livelihoods.</w:t>
      </w:r>
    </w:p>
    <w:p>
      <w:pPr>
        <w:jc w:val="both"/>
      </w:pPr>
      <w:r>
        <w:rPr/>
        <w:t xml:space="preserve"/>
      </w:r>
    </w:p>
    <w:p>
      <w:pPr>
        <w:jc w:val="both"/>
      </w:pPr>
      <w:r>
        <w:rPr/>
        <w:t xml:space="preserve">Additionally, the article presents a one-sided perspective by only highlighting positive aspects of cultural flows and not exploring any counterarguments or alternative viewpoints. It does not provide a balanced discussion of the potential trade-offs or limitations associated with implementing cultural flows. This lack of critical analysis undermines the credibility of the article and suggests a biased presentation of information.</w:t>
      </w:r>
    </w:p>
    <w:p>
      <w:pPr>
        <w:jc w:val="both"/>
      </w:pPr>
      <w:r>
        <w:rPr/>
        <w:t xml:space="preserve"/>
      </w:r>
    </w:p>
    <w:p>
      <w:pPr>
        <w:jc w:val="both"/>
      </w:pPr>
      <w:r>
        <w:rPr/>
        <w:t xml:space="preserve">Furthermore, there are unsupported claims in the article that could benefit from additional evidence or clarification. For instance, it states that cultural flows benefit practical activities like fishing, hunting, ceremonies, and harvesting medicinal plants and herbs without providing specific examples or empirical data to support this claim. Including concrete examples or references to studies would strengthen these assertions.</w:t>
      </w:r>
    </w:p>
    <w:p>
      <w:pPr>
        <w:jc w:val="both"/>
      </w:pPr>
      <w:r>
        <w:rPr/>
        <w:t xml:space="preserve"/>
      </w:r>
    </w:p>
    <w:p>
      <w:pPr>
        <w:jc w:val="both"/>
      </w:pPr>
      <w:r>
        <w:rPr/>
        <w:t xml:space="preserve">The article also lacks consideration for non-Indigenous perspectives on water management in the Murray-Darling Basin. While it acknowledges collaboration between First Nations and Basin governments, it does not provide any insights into how non-Indigenous stakeholders are involved in decision-making processes related to cultural flows. This omission limits a comprehensive understanding of water management practices in the region.</w:t>
      </w:r>
    </w:p>
    <w:p>
      <w:pPr>
        <w:jc w:val="both"/>
      </w:pPr>
      <w:r>
        <w:rPr/>
        <w:t xml:space="preserve"/>
      </w:r>
    </w:p>
    <w:p>
      <w:pPr>
        <w:jc w:val="both"/>
      </w:pPr>
      <w:r>
        <w:rPr/>
        <w:t xml:space="preserve">Moreover, there is promotional content present in the article that promotes government initiatives and funding for cultural flows. The article mentions the Australian Government's commitment of $40 million to establish a water investment program without critically examining the potential implications or limitations of such programs. This promotional tone raises questions about the objectivity and independence of the information presented.</w:t>
      </w:r>
    </w:p>
    <w:p>
      <w:pPr>
        <w:jc w:val="both"/>
      </w:pPr>
      <w:r>
        <w:rPr/>
        <w:t xml:space="preserve"/>
      </w:r>
    </w:p>
    <w:p>
      <w:pPr>
        <w:jc w:val="both"/>
      </w:pPr>
      <w:r>
        <w:rPr/>
        <w:t xml:space="preserve">In conclusion, while the article provides some valuable insights into First Nations cultural flows in the Murray-Darling Basin, it exhibits potential biases, one-sided reporting, unsupported claims, missing points of consideration, and promotional content. A more balanced and critical analysis would have included a discussion of potential risks and drawbacks associated with cultural flows, explored alternative perspectives, provided evidence for claims made, and considered non-Indigenous stakeholders' involvement in water management decisions.</w:t>
      </w:r>
    </w:p>
    <w:p>
      <w:pPr>
        <w:pStyle w:val="Heading1"/>
      </w:pPr>
      <w:bookmarkStart w:id="5" w:name="_Toc5"/>
      <w:r>
        <w:t>Topics for further research:</w:t>
      </w:r>
      <w:bookmarkEnd w:id="5"/>
    </w:p>
    <w:p>
      <w:pPr>
        <w:spacing w:after="0"/>
        <w:numPr>
          <w:ilvl w:val="0"/>
          <w:numId w:val="2"/>
        </w:numPr>
      </w:pPr>
      <w:r>
        <w:rPr/>
        <w:t xml:space="preserve">Potential conflicts between First Nations groups over water allocations in the Murray-Darling Basin
</w:t>
      </w:r>
    </w:p>
    <w:p>
      <w:pPr>
        <w:spacing w:after="0"/>
        <w:numPr>
          <w:ilvl w:val="0"/>
          <w:numId w:val="2"/>
        </w:numPr>
      </w:pPr>
      <w:r>
        <w:rPr/>
        <w:t xml:space="preserve">Non-Indigenous perspectives on water management in the Murray-Darling Basin
</w:t>
      </w:r>
    </w:p>
    <w:p>
      <w:pPr>
        <w:spacing w:after="0"/>
        <w:numPr>
          <w:ilvl w:val="0"/>
          <w:numId w:val="2"/>
        </w:numPr>
      </w:pPr>
      <w:r>
        <w:rPr/>
        <w:t xml:space="preserve">Trade-offs and limitations associated with implementing cultural flows
</w:t>
      </w:r>
    </w:p>
    <w:p>
      <w:pPr>
        <w:spacing w:after="0"/>
        <w:numPr>
          <w:ilvl w:val="0"/>
          <w:numId w:val="2"/>
        </w:numPr>
      </w:pPr>
      <w:r>
        <w:rPr/>
        <w:t xml:space="preserve">Empirical evidence supporting the benefits of cultural flows for practical activities like fishing</w:t>
      </w:r>
    </w:p>
    <w:p>
      <w:pPr>
        <w:spacing w:after="0"/>
        <w:numPr>
          <w:ilvl w:val="0"/>
          <w:numId w:val="2"/>
        </w:numPr>
      </w:pPr>
      <w:r>
        <w:rPr/>
        <w:t xml:space="preserve">hunting</w:t>
      </w:r>
    </w:p>
    <w:p>
      <w:pPr>
        <w:spacing w:after="0"/>
        <w:numPr>
          <w:ilvl w:val="0"/>
          <w:numId w:val="2"/>
        </w:numPr>
      </w:pPr>
      <w:r>
        <w:rPr/>
        <w:t xml:space="preserve">ceremonies</w:t>
      </w:r>
    </w:p>
    <w:p>
      <w:pPr>
        <w:spacing w:after="0"/>
        <w:numPr>
          <w:ilvl w:val="0"/>
          <w:numId w:val="2"/>
        </w:numPr>
      </w:pPr>
      <w:r>
        <w:rPr/>
        <w:t xml:space="preserve">and harvesting medicinal plants and herbs
</w:t>
      </w:r>
    </w:p>
    <w:p>
      <w:pPr>
        <w:spacing w:after="0"/>
        <w:numPr>
          <w:ilvl w:val="0"/>
          <w:numId w:val="2"/>
        </w:numPr>
      </w:pPr>
      <w:r>
        <w:rPr/>
        <w:t xml:space="preserve">Involvement of non-Indigenous stakeholders in decision-making processes related to cultural flows in the Murray-Darling Basin
</w:t>
      </w:r>
    </w:p>
    <w:p>
      <w:pPr>
        <w:numPr>
          <w:ilvl w:val="0"/>
          <w:numId w:val="2"/>
        </w:numPr>
      </w:pPr>
      <w:r>
        <w:rPr/>
        <w:t xml:space="preserve">Implications and limitations of government initiatives and funding for cultural flows in the Murray-Darling Basin.</w:t>
      </w:r>
    </w:p>
    <w:p>
      <w:pPr>
        <w:pStyle w:val="Heading1"/>
      </w:pPr>
      <w:bookmarkStart w:id="6" w:name="_Toc6"/>
      <w:r>
        <w:t>Report location:</w:t>
      </w:r>
      <w:bookmarkEnd w:id="6"/>
    </w:p>
    <w:p>
      <w:hyperlink r:id="rId8" w:history="1">
        <w:r>
          <w:rPr>
            <w:color w:val="2980b9"/>
            <w:u w:val="single"/>
          </w:rPr>
          <w:t xml:space="preserve">https://www.fullpicture.app/item/dfec4180b798dd1b6b78544f15e36c68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50B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ba.gov.au/water-use/water-first-nations/first-nations-cultural-flows" TargetMode="External"/><Relationship Id="rId8" Type="http://schemas.openxmlformats.org/officeDocument/2006/relationships/hyperlink" Target="https://www.fullpicture.app/item/dfec4180b798dd1b6b78544f15e36c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2024-05-13T05:21:55+02:00</dcterms:created>
  <dcterms:modified xsi:type="dcterms:W3CDTF">2024-05-13T05:21:55+02:00</dcterms:modified>
</cp:coreProperties>
</file>

<file path=docProps/custom.xml><?xml version="1.0" encoding="utf-8"?>
<Properties xmlns="http://schemas.openxmlformats.org/officeDocument/2006/custom-properties" xmlns:vt="http://schemas.openxmlformats.org/officeDocument/2006/docPropsVTypes"/>
</file>