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Comprehensive analysis of scRNA-Seq and bulk RNA-Seq reveals dynamic changes in the tumor immune microenvironment of bladder cancer and establishes a prognostic model - PMC</w:t>
      </w:r>
      <w:br/>
      <w:hyperlink r:id="rId7" w:history="1">
        <w:r>
          <w:rPr>
            <w:color w:val="2980b9"/>
            <w:u w:val="single"/>
          </w:rPr>
          <w:t xml:space="preserve">https://www.ncbi.nlm.nih.gov/pmc/articles/PMC10044739/</w:t>
        </w:r>
      </w:hyperlink>
    </w:p>
    <w:p>
      <w:pPr>
        <w:pStyle w:val="Heading1"/>
      </w:pPr>
      <w:bookmarkStart w:id="2" w:name="_Toc2"/>
      <w:r>
        <w:t>Article summary:</w:t>
      </w:r>
      <w:bookmarkEnd w:id="2"/>
    </w:p>
    <w:p>
      <w:pPr>
        <w:jc w:val="both"/>
      </w:pPr>
      <w:r>
        <w:rPr/>
        <w:t xml:space="preserve">1. 通过综合分析单细胞RNA测序（scRNA-Seq）和批量RNA测序（bulk RNA-Seq）数据，研究揭示了膀胱癌肿瘤免疫微环境的动态变化，并建立了一个预后模型。</w:t>
      </w:r>
    </w:p>
    <w:p>
      <w:pPr>
        <w:jc w:val="both"/>
      </w:pPr>
      <w:r>
        <w:rPr/>
        <w:t xml:space="preserve">2. 通过scRNA-Seq数据分析，鉴定出19个细胞亚群和7种核心细胞类型。结果显示，在膀胱癌肿瘤样本中，所有7种核心细胞类型的表达水平均显著下调。</w:t>
      </w:r>
    </w:p>
    <w:p>
      <w:pPr>
        <w:jc w:val="both"/>
      </w:pPr>
      <w:r>
        <w:rPr/>
        <w:t xml:space="preserve">3. 基于3个特征基因（MAP1B、PCOLCE2和ELN）的表达水平构建的预后模型能够有效预测膀胱癌患者的生存情况，并与免疫微环境和临床病理特征密切相关。</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这篇文章是一项关于膀胱癌的研究，通过综合分析单细胞RNA测序（scRNA-seq）和批量RNA测序（bulk RNA-seq）数据，建立了一个预后模型。然而，从文章中可以看出存在一些潜在的偏见和问题。</w:t>
      </w:r>
    </w:p>
    <w:p>
      <w:pPr>
        <w:jc w:val="both"/>
      </w:pPr>
      <w:r>
        <w:rPr/>
        <w:t xml:space="preserve"/>
      </w:r>
    </w:p>
    <w:p>
      <w:pPr>
        <w:jc w:val="both"/>
      </w:pPr>
      <w:r>
        <w:rPr/>
        <w:t xml:space="preserve">首先，文章没有提及研究的样本来源和选择标准。这可能导致样本选择偏倚，并影响结果的可靠性和推广性。</w:t>
      </w:r>
    </w:p>
    <w:p>
      <w:pPr>
        <w:jc w:val="both"/>
      </w:pPr>
      <w:r>
        <w:rPr/>
        <w:t xml:space="preserve"/>
      </w:r>
    </w:p>
    <w:p>
      <w:pPr>
        <w:jc w:val="both"/>
      </w:pPr>
      <w:r>
        <w:rPr/>
        <w:t xml:space="preserve">其次，文章没有明确说明如何处理和分析scRNA-seq和bulk RNA-seq数据。缺乏详细的方法描述可能使读者难以重复该研究并验证结果。</w:t>
      </w:r>
    </w:p>
    <w:p>
      <w:pPr>
        <w:jc w:val="both"/>
      </w:pPr>
      <w:r>
        <w:rPr/>
        <w:t xml:space="preserve"/>
      </w:r>
    </w:p>
    <w:p>
      <w:pPr>
        <w:jc w:val="both"/>
      </w:pPr>
      <w:r>
        <w:rPr/>
        <w:t xml:space="preserve">此外，文章没有提供对比组或对照组来评估所提出的预后模型的有效性。仅仅通过内部训练集和两个外部验证集来验证模型可能不足以支持其在临床实践中的应用。</w:t>
      </w:r>
    </w:p>
    <w:p>
      <w:pPr>
        <w:jc w:val="both"/>
      </w:pPr>
      <w:r>
        <w:rPr/>
        <w:t xml:space="preserve"/>
      </w:r>
    </w:p>
    <w:p>
      <w:pPr>
        <w:jc w:val="both"/>
      </w:pPr>
      <w:r>
        <w:rPr/>
        <w:t xml:space="preserve">另一个问题是文章没有充分考虑其他可能影响膀胱癌预后的因素。例如，年龄、性别、肿瘤分期等因素都被证明与膀胱癌患者的生存率相关。如果这些因素未被纳入考虑，那么所建立的预后模型可能会忽略重要的信息。</w:t>
      </w:r>
    </w:p>
    <w:p>
      <w:pPr>
        <w:jc w:val="both"/>
      </w:pPr>
      <w:r>
        <w:rPr/>
        <w:t xml:space="preserve"/>
      </w:r>
    </w:p>
    <w:p>
      <w:pPr>
        <w:jc w:val="both"/>
      </w:pPr>
      <w:r>
        <w:rPr/>
        <w:t xml:space="preserve">此外，文章没有提供关于预后模型的临床应用的详细信息。例如，如何将该模型应用于临床决策和患者管理中，并对其效果进行评估。</w:t>
      </w:r>
    </w:p>
    <w:p>
      <w:pPr>
        <w:jc w:val="both"/>
      </w:pPr>
      <w:r>
        <w:rPr/>
        <w:t xml:space="preserve"/>
      </w:r>
    </w:p>
    <w:p>
      <w:pPr>
        <w:jc w:val="both"/>
      </w:pPr>
      <w:r>
        <w:rPr/>
        <w:t xml:space="preserve">最后，文章没有探讨可能存在的风险和局限性。例如，由于样本数量有限，所建立的预后模型可能存在过拟合的风险。此外，由于使用了公开可获得的数据集，可能存在批次效应和数据来源不一致性等问题。</w:t>
      </w:r>
    </w:p>
    <w:p>
      <w:pPr>
        <w:jc w:val="both"/>
      </w:pPr>
      <w:r>
        <w:rPr/>
        <w:t xml:space="preserve"/>
      </w:r>
    </w:p>
    <w:p>
      <w:pPr>
        <w:jc w:val="both"/>
      </w:pPr>
      <w:r>
        <w:rPr/>
        <w:t xml:space="preserve">总之，尽管这篇文章提出了一个基于scRNA-seq和bulk RNA-seq数据的膀胱癌预后模型，但它存在一些潜在的偏见和问题。进一步研究和验证是必要的，以确定该模型在临床实践中的准确性和可靠性。</w:t>
      </w:r>
    </w:p>
    <w:p>
      <w:pPr>
        <w:pStyle w:val="Heading1"/>
      </w:pPr>
      <w:bookmarkStart w:id="5" w:name="_Toc5"/>
      <w:r>
        <w:t>Topics for further research:</w:t>
      </w:r>
      <w:bookmarkEnd w:id="5"/>
    </w:p>
    <w:p>
      <w:pPr>
        <w:spacing w:after="0"/>
        <w:numPr>
          <w:ilvl w:val="0"/>
          <w:numId w:val="2"/>
        </w:numPr>
      </w:pPr>
      <w:r>
        <w:rPr/>
        <w:t xml:space="preserve">膀胱癌样本来源和选择标准
</w:t>
      </w:r>
    </w:p>
    <w:p>
      <w:pPr>
        <w:spacing w:after="0"/>
        <w:numPr>
          <w:ilvl w:val="0"/>
          <w:numId w:val="2"/>
        </w:numPr>
      </w:pPr>
      <w:r>
        <w:rPr/>
        <w:t xml:space="preserve">scRNA-seq和bulk RNA-seq数据处理和分析方法
</w:t>
      </w:r>
    </w:p>
    <w:p>
      <w:pPr>
        <w:spacing w:after="0"/>
        <w:numPr>
          <w:ilvl w:val="0"/>
          <w:numId w:val="2"/>
        </w:numPr>
      </w:pPr>
      <w:r>
        <w:rPr/>
        <w:t xml:space="preserve">预后模型的有效性评估和对比组
</w:t>
      </w:r>
    </w:p>
    <w:p>
      <w:pPr>
        <w:spacing w:after="0"/>
        <w:numPr>
          <w:ilvl w:val="0"/>
          <w:numId w:val="2"/>
        </w:numPr>
      </w:pPr>
      <w:r>
        <w:rPr/>
        <w:t xml:space="preserve">其他可能影响膀胱癌预后的因素
</w:t>
      </w:r>
    </w:p>
    <w:p>
      <w:pPr>
        <w:spacing w:after="0"/>
        <w:numPr>
          <w:ilvl w:val="0"/>
          <w:numId w:val="2"/>
        </w:numPr>
      </w:pPr>
      <w:r>
        <w:rPr/>
        <w:t xml:space="preserve">预后模型的临床应用和效果评估
</w:t>
      </w:r>
    </w:p>
    <w:p>
      <w:pPr>
        <w:numPr>
          <w:ilvl w:val="0"/>
          <w:numId w:val="2"/>
        </w:numPr>
      </w:pPr>
      <w:r>
        <w:rPr/>
        <w:t xml:space="preserve">风险和局限性的探讨</w:t>
      </w:r>
    </w:p>
    <w:p>
      <w:pPr>
        <w:pStyle w:val="Heading1"/>
      </w:pPr>
      <w:bookmarkStart w:id="6" w:name="_Toc6"/>
      <w:r>
        <w:t>Report location:</w:t>
      </w:r>
      <w:bookmarkEnd w:id="6"/>
    </w:p>
    <w:p>
      <w:hyperlink r:id="rId8" w:history="1">
        <w:r>
          <w:rPr>
            <w:color w:val="2980b9"/>
            <w:u w:val="single"/>
          </w:rPr>
          <w:t xml:space="preserve">https://www.fullpicture.app/item/dd26531d2f4fedaee85c420bac6a026c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7A52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10044739/" TargetMode="External"/><Relationship Id="rId8" Type="http://schemas.openxmlformats.org/officeDocument/2006/relationships/hyperlink" Target="https://www.fullpicture.app/item/dd26531d2f4fedaee85c420bac6a02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2023-12-31T11:41:55+01:00</dcterms:created>
  <dcterms:modified xsi:type="dcterms:W3CDTF">2023-12-31T11:41:55+01:00</dcterms:modified>
</cp:coreProperties>
</file>

<file path=docProps/custom.xml><?xml version="1.0" encoding="utf-8"?>
<Properties xmlns="http://schemas.openxmlformats.org/officeDocument/2006/custom-properties" xmlns:vt="http://schemas.openxmlformats.org/officeDocument/2006/docPropsVTypes"/>
</file>