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Causal relationship between circulating immune cells and the risk of type 2 diabetes: a Mendelian randomization study - PubMed</w:t>
      </w:r>
      <w:br/>
      <w:hyperlink r:id="rId7" w:history="1">
        <w:r>
          <w:rPr>
            <w:color w:val="2980b9"/>
            <w:u w:val="single"/>
          </w:rPr>
          <w:t xml:space="preserve">https://pubmed.ncbi.nlm.nih.gov/37305035/</w:t>
        </w:r>
      </w:hyperlink>
    </w:p>
    <w:p>
      <w:pPr>
        <w:pStyle w:val="Heading1"/>
      </w:pPr>
      <w:bookmarkStart w:id="2" w:name="_Toc2"/>
      <w:r>
        <w:t>Article summary:</w:t>
      </w:r>
      <w:bookmarkEnd w:id="2"/>
    </w:p>
    <w:p>
      <w:pPr>
        <w:jc w:val="both"/>
      </w:pPr>
      <w:r>
        <w:rPr/>
        <w:t xml:space="preserve">1. This study aimed to determine if there is a causal relationship between circulating immune cell profiles and the risk of type 2 diabetes (T2D).</w:t>
      </w:r>
    </w:p>
    <w:p>
      <w:pPr>
        <w:jc w:val="both"/>
      </w:pPr>
      <w:r>
        <w:rPr/>
        <w:t xml:space="preserve">2. The researchers used Mendelian randomization analysis, utilizing genome-wide association study (GWAS) data on blood traits and lymphocyte subsets, to identify genetically predicted blood immune cells.</w:t>
      </w:r>
    </w:p>
    <w:p>
      <w:pPr>
        <w:jc w:val="both"/>
      </w:pPr>
      <w:r>
        <w:rPr/>
        <w:t xml:space="preserve">3. The results showed that higher levels of circulating monocytes and certain T-lymphocyte subpopulations were causally correlated with an increased risk of T2D, confirming the role of immunity in T2D predisposition. These findings may provide potential therapeutic targets for the diagnosis and treatment of T2D.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"Causal relationship between circulating immune cells and the risk of type 2 diabetes: a Mendelian randomization study" aims to investigate whether there is a causal relationship between circulating immune cell profiles and the risk of type 2 diabetes (T2D). The study utilizes Mendelian randomization (MR) analysis, which uses genetic variants as instrumental variables to assess causality.</w:t>
      </w:r>
    </w:p>
    <w:p>
      <w:pPr>
        <w:jc w:val="both"/>
      </w:pPr>
      <w:r>
        <w:rPr/>
        <w:t xml:space="preserve"/>
      </w:r>
    </w:p>
    <w:p>
      <w:pPr>
        <w:jc w:val="both"/>
      </w:pPr>
      <w:r>
        <w:rPr/>
        <w:t xml:space="preserve">The article begins by highlighting that while T2D is known to be caused by multiple factors, its etiology remains poorly understood. The authors state that they aim to determine whether circulating immune cell profiles have a causal impact on T2D liability.</w:t>
      </w:r>
    </w:p>
    <w:p>
      <w:pPr>
        <w:jc w:val="both"/>
      </w:pPr>
      <w:r>
        <w:rPr/>
        <w:t xml:space="preserve"/>
      </w:r>
    </w:p>
    <w:p>
      <w:pPr>
        <w:jc w:val="both"/>
      </w:pPr>
      <w:r>
        <w:rPr/>
        <w:t xml:space="preserve">The methods section describes how the researchers used genome-wide association study (GWAS) summary statistics from large cohorts to identify genetically predicted blood immune cells and evaluate their association with T2D. They performed MR analyses using inverse variance weighted (IVW) and weighted median methods, as well as sensitivity analyses to assess heterogeneity and pleiotropy.</w:t>
      </w:r>
    </w:p>
    <w:p>
      <w:pPr>
        <w:jc w:val="both"/>
      </w:pPr>
      <w:r>
        <w:rPr/>
        <w:t xml:space="preserve"/>
      </w:r>
    </w:p>
    <w:p>
      <w:pPr>
        <w:jc w:val="both"/>
      </w:pPr>
      <w:r>
        <w:rPr/>
        <w:t xml:space="preserve">The results of the study suggest that higher levels of genetically predicted circulating monocytes and certain T-lymphocyte subpopulations are associated with an increased risk of T2D. However, it should be noted that these associations are based on genetic predictions rather than direct measurements of immune cell counts or functional assessments.</w:t>
      </w:r>
    </w:p>
    <w:p>
      <w:pPr>
        <w:jc w:val="both"/>
      </w:pPr>
      <w:r>
        <w:rPr/>
        <w:t xml:space="preserve"/>
      </w:r>
    </w:p>
    <w:p>
      <w:pPr>
        <w:jc w:val="both"/>
      </w:pPr>
      <w:r>
        <w:rPr/>
        <w:t xml:space="preserve">One potential bias in this study is the reliance on GWAS summary statistics, which may introduce biases due to population stratification or confounding factors not accounted for in the original studies. Additionally, MR analyses assume that the genetic variants used as instrumental variables only affect the outcome through their effect on the exposure variable. However, this assumption may not always hold true, leading to biased estimates.</w:t>
      </w:r>
    </w:p>
    <w:p>
      <w:pPr>
        <w:jc w:val="both"/>
      </w:pPr>
      <w:r>
        <w:rPr/>
        <w:t xml:space="preserve"/>
      </w:r>
    </w:p>
    <w:p>
      <w:pPr>
        <w:jc w:val="both"/>
      </w:pPr>
      <w:r>
        <w:rPr/>
        <w:t xml:space="preserve">Furthermore, it is important to consider that while this study suggests a causal relationship between certain immune cell profiles and T2D risk, it does not provide mechanistic insights into how these immune cells contribute to disease development. It also does not explore potential confounding factors or interactions with other risk factors for T2D, such as obesity or lifestyle factors.</w:t>
      </w:r>
    </w:p>
    <w:p>
      <w:pPr>
        <w:jc w:val="both"/>
      </w:pPr>
      <w:r>
        <w:rPr/>
        <w:t xml:space="preserve"/>
      </w:r>
    </w:p>
    <w:p>
      <w:pPr>
        <w:jc w:val="both"/>
      </w:pPr>
      <w:r>
        <w:rPr/>
        <w:t xml:space="preserve">The article does not mention any potential risks or limitations of the MR approach itself. MR analyses rely on several assumptions, including the absence of pleiotropy, which occurs when genetic variants affect multiple traits. If pleiotropy is present, it can lead to biased estimates and invalidate the causal interpretations.</w:t>
      </w:r>
    </w:p>
    <w:p>
      <w:pPr>
        <w:jc w:val="both"/>
      </w:pPr>
      <w:r>
        <w:rPr/>
        <w:t xml:space="preserve"/>
      </w:r>
    </w:p>
    <w:p>
      <w:pPr>
        <w:jc w:val="both"/>
      </w:pPr>
      <w:r>
        <w:rPr/>
        <w:t xml:space="preserve">In terms of reporting, the article presents the results in a clear and concise manner using forest plots to display the odds ratios and confidence intervals. However, it would have been beneficial to include more detailed information about the individual studies included in the GWAS summary statistics and their characteristics.</w:t>
      </w:r>
    </w:p>
    <w:p>
      <w:pPr>
        <w:jc w:val="both"/>
      </w:pPr>
      <w:r>
        <w:rPr/>
        <w:t xml:space="preserve"/>
      </w:r>
    </w:p>
    <w:p>
      <w:pPr>
        <w:jc w:val="both"/>
      </w:pPr>
      <w:r>
        <w:rPr/>
        <w:t xml:space="preserve">Overall, while this study provides evidence for a causal relationship between certain immune cell profiles and T2D risk, it has limitations that should be considered. Further research is needed to validate these findings and understand the underlying mechanisms involved. Additionally, it is important to consider other risk factors and potential confounders when interpreting these results.</w:t>
      </w:r>
    </w:p>
    <w:p>
      <w:pPr>
        <w:pStyle w:val="Heading1"/>
      </w:pPr>
      <w:bookmarkStart w:id="5" w:name="_Toc5"/>
      <w:r>
        <w:t>Topics for further research:</w:t>
      </w:r>
      <w:bookmarkEnd w:id="5"/>
    </w:p>
    <w:p>
      <w:pPr>
        <w:spacing w:after="0"/>
        <w:numPr>
          <w:ilvl w:val="0"/>
          <w:numId w:val="2"/>
        </w:numPr>
      </w:pPr>
      <w:r>
        <w:rPr/>
        <w:t xml:space="preserve">Mechanisms of immune cell involvement in type 2 diabetes development
</w:t>
      </w:r>
    </w:p>
    <w:p>
      <w:pPr>
        <w:spacing w:after="0"/>
        <w:numPr>
          <w:ilvl w:val="0"/>
          <w:numId w:val="2"/>
        </w:numPr>
      </w:pPr>
      <w:r>
        <w:rPr/>
        <w:t xml:space="preserve">Role of monocytes and T-lymphocyte subpopulations in diabetes pathogenesis
</w:t>
      </w:r>
    </w:p>
    <w:p>
      <w:pPr>
        <w:spacing w:after="0"/>
        <w:numPr>
          <w:ilvl w:val="0"/>
          <w:numId w:val="2"/>
        </w:numPr>
      </w:pPr>
      <w:r>
        <w:rPr/>
        <w:t xml:space="preserve">Relationship between obesity and immune cell profiles in type 2 diabetes
</w:t>
      </w:r>
    </w:p>
    <w:p>
      <w:pPr>
        <w:spacing w:after="0"/>
        <w:numPr>
          <w:ilvl w:val="0"/>
          <w:numId w:val="2"/>
        </w:numPr>
      </w:pPr>
      <w:r>
        <w:rPr/>
        <w:t xml:space="preserve">Lifestyle factors and immune cell profiles in diabetes risk
</w:t>
      </w:r>
    </w:p>
    <w:p>
      <w:pPr>
        <w:spacing w:after="0"/>
        <w:numPr>
          <w:ilvl w:val="0"/>
          <w:numId w:val="2"/>
        </w:numPr>
      </w:pPr>
      <w:r>
        <w:rPr/>
        <w:t xml:space="preserve">Limitations and biases of Mendelian randomization analysis in studying immune cell-disease relationships
</w:t>
      </w:r>
    </w:p>
    <w:p>
      <w:pPr>
        <w:numPr>
          <w:ilvl w:val="0"/>
          <w:numId w:val="2"/>
        </w:numPr>
      </w:pPr>
      <w:r>
        <w:rPr/>
        <w:t xml:space="preserve">Pleiotropy and its impact on causal interpretations in Mendelian randomization studies</w:t>
      </w:r>
    </w:p>
    <w:p>
      <w:pPr>
        <w:pStyle w:val="Heading1"/>
      </w:pPr>
      <w:bookmarkStart w:id="6" w:name="_Toc6"/>
      <w:r>
        <w:t>Report location:</w:t>
      </w:r>
      <w:bookmarkEnd w:id="6"/>
    </w:p>
    <w:p>
      <w:hyperlink r:id="rId8" w:history="1">
        <w:r>
          <w:rPr>
            <w:color w:val="2980b9"/>
            <w:u w:val="single"/>
          </w:rPr>
          <w:t xml:space="preserve">https://www.fullpicture.app/item/dbe731243ce4b30e82270d4ba5e6e604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2D5E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305035/" TargetMode="External"/><Relationship Id="rId8" Type="http://schemas.openxmlformats.org/officeDocument/2006/relationships/hyperlink" Target="https://www.fullpicture.app/item/dbe731243ce4b30e82270d4ba5e6e6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2024-06-07T09:14:32+02:00</dcterms:created>
  <dcterms:modified xsi:type="dcterms:W3CDTF">2024-06-07T09:14:32+02:00</dcterms:modified>
</cp:coreProperties>
</file>

<file path=docProps/custom.xml><?xml version="1.0" encoding="utf-8"?>
<Properties xmlns="http://schemas.openxmlformats.org/officeDocument/2006/custom-properties" xmlns:vt="http://schemas.openxmlformats.org/officeDocument/2006/docPropsVTypes"/>
</file>