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训练用于一类和二类分类的支持向量机 (SVM) 分类器 - MATLAB fitcsvm - MathWorks 中国</w:t>
      </w:r>
      <w:br/>
      <w:hyperlink r:id="rId7" w:history="1">
        <w:r>
          <w:rPr>
            <w:color w:val="2980b9"/>
            <w:u w:val="single"/>
          </w:rPr>
          <w:t xml:space="preserve">https://ww2.mathworks.cn/help/stats/fitcsvm.html</w:t>
        </w:r>
      </w:hyperlink>
    </w:p>
    <w:p>
      <w:pPr>
        <w:pStyle w:val="Heading1"/>
      </w:pPr>
      <w:bookmarkStart w:id="2" w:name="_Toc2"/>
      <w:r>
        <w:t>Article summary:</w:t>
      </w:r>
      <w:bookmarkEnd w:id="2"/>
    </w:p>
    <w:p>
      <w:pPr>
        <w:jc w:val="both"/>
      </w:pPr>
      <w:r>
        <w:rPr/>
        <w:t xml:space="preserve">1. 使用 MATLAB 的 fitcsvm 函数可以训练支持向量机 (SVM) 分类器，适用于一类和二类分类问题。</w:t>
      </w:r>
    </w:p>
    <w:p>
      <w:pPr>
        <w:jc w:val="both"/>
      </w:pPr>
      <w:r>
        <w:rPr/>
        <w:t xml:space="preserve">2. 可以通过加载数据集、训练模型、查看属性和绘制决策边界等步骤来实现 SVM 分类器的训练和可视化。</w:t>
      </w:r>
    </w:p>
    <w:p>
      <w:pPr>
        <w:jc w:val="both"/>
      </w:pPr>
      <w:r>
        <w:rPr/>
        <w:t xml:space="preserve">3. SVM 分类器的支持向量是在估计的类边界上或之外的观测值，可以通过调整框约束来调整支持向量的数量。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这篇文章是关于使用MATLAB中的fitcsvm函数训练支持向量机（SVM）分类器的方法。文章提供了一些示例代码和说明，以帮助读者了解如何使用该函数进行一类和二类分类。</w:t>
      </w:r>
    </w:p>
    <w:p>
      <w:pPr>
        <w:jc w:val="both"/>
      </w:pPr>
      <w:r>
        <w:rPr/>
        <w:t xml:space="preserve"/>
      </w:r>
    </w:p>
    <w:p>
      <w:pPr>
        <w:jc w:val="both"/>
      </w:pPr>
      <w:r>
        <w:rPr/>
        <w:t xml:space="preserve">然而，这篇文章存在一些潜在的偏见和问题。首先，文章没有提及SVM分类器的局限性或适用性条件。SVM在处理高维数据时可能会遇到困难，而且对于非线性问题可能不够有效。此外，文章没有探讨如何处理不平衡数据集或如何调整超参数以优化模型性能。</w:t>
      </w:r>
    </w:p>
    <w:p>
      <w:pPr>
        <w:jc w:val="both"/>
      </w:pPr>
      <w:r>
        <w:rPr/>
        <w:t xml:space="preserve"/>
      </w:r>
    </w:p>
    <w:p>
      <w:pPr>
        <w:jc w:val="both"/>
      </w:pPr>
      <w:r>
        <w:rPr/>
        <w:t xml:space="preserve">另外，文章似乎只关注了如何训练SVM模型，并没有涉及如何评估模型的性能或进行交叉验证来确保模型的泛化能力。缺乏对模型评估和选择的讨论可能导致读者在实际应用中遇到困难。</w:t>
      </w:r>
    </w:p>
    <w:p>
      <w:pPr>
        <w:jc w:val="both"/>
      </w:pPr>
      <w:r>
        <w:rPr/>
        <w:t xml:space="preserve"/>
      </w:r>
    </w:p>
    <w:p>
      <w:pPr>
        <w:jc w:val="both"/>
      </w:pPr>
      <w:r>
        <w:rPr/>
        <w:t xml:space="preserve">此外，文章也没有提供足够的背景信息或引用来支持其主张。缺乏引用来源可能使读者难以验证所呈现内容的准确性和可靠性。</w:t>
      </w:r>
    </w:p>
    <w:p>
      <w:pPr>
        <w:jc w:val="both"/>
      </w:pPr>
      <w:r>
        <w:rPr/>
        <w:t xml:space="preserve"/>
      </w:r>
    </w:p>
    <w:p>
      <w:pPr>
        <w:jc w:val="both"/>
      </w:pPr>
      <w:r>
        <w:rPr/>
        <w:t xml:space="preserve">总体而言，这篇文章虽然提供了一些有用的信息和示例代码，但仍存在着潜在的偏见、片面报道和缺失考虑点等问题。为了使读者更全面地理解SVM分类器及其应用，建议作者增加对模型评估、局限性和适用条件等方面的讨论，并提供更多支持其主张的证据和引用来源。</w:t>
      </w:r>
    </w:p>
    <w:p>
      <w:pPr>
        <w:pStyle w:val="Heading1"/>
      </w:pPr>
      <w:bookmarkStart w:id="5" w:name="_Toc5"/>
      <w:r>
        <w:t>Topics for further research:</w:t>
      </w:r>
      <w:bookmarkEnd w:id="5"/>
    </w:p>
    <w:p>
      <w:pPr>
        <w:spacing w:after="0"/>
        <w:numPr>
          <w:ilvl w:val="0"/>
          <w:numId w:val="2"/>
        </w:numPr>
      </w:pPr>
      <w:r>
        <w:rPr/>
        <w:t xml:space="preserve">SVM分类器的局限性和适用性条件
</w:t>
      </w:r>
    </w:p>
    <w:p>
      <w:pPr>
        <w:spacing w:after="0"/>
        <w:numPr>
          <w:ilvl w:val="0"/>
          <w:numId w:val="2"/>
        </w:numPr>
      </w:pPr>
      <w:r>
        <w:rPr/>
        <w:t xml:space="preserve">处理不平衡数据集的方法
</w:t>
      </w:r>
    </w:p>
    <w:p>
      <w:pPr>
        <w:spacing w:after="0"/>
        <w:numPr>
          <w:ilvl w:val="0"/>
          <w:numId w:val="2"/>
        </w:numPr>
      </w:pPr>
      <w:r>
        <w:rPr/>
        <w:t xml:space="preserve">调整超参数以优化模型性能
</w:t>
      </w:r>
    </w:p>
    <w:p>
      <w:pPr>
        <w:spacing w:after="0"/>
        <w:numPr>
          <w:ilvl w:val="0"/>
          <w:numId w:val="2"/>
        </w:numPr>
      </w:pPr>
      <w:r>
        <w:rPr/>
        <w:t xml:space="preserve">模型性能评估和交叉验证方法
</w:t>
      </w:r>
    </w:p>
    <w:p>
      <w:pPr>
        <w:spacing w:after="0"/>
        <w:numPr>
          <w:ilvl w:val="0"/>
          <w:numId w:val="2"/>
        </w:numPr>
      </w:pPr>
      <w:r>
        <w:rPr/>
        <w:t xml:space="preserve">SVM在处理高维数据和非线性问题时的挑战
</w:t>
      </w:r>
    </w:p>
    <w:p>
      <w:pPr>
        <w:numPr>
          <w:ilvl w:val="0"/>
          <w:numId w:val="2"/>
        </w:numPr>
      </w:pPr>
      <w:r>
        <w:rPr/>
        <w:t xml:space="preserve">提供更多背景信息和引用来源来支持主张</w:t>
      </w:r>
    </w:p>
    <w:p>
      <w:pPr>
        <w:pStyle w:val="Heading1"/>
      </w:pPr>
      <w:bookmarkStart w:id="6" w:name="_Toc6"/>
      <w:r>
        <w:t>Report location:</w:t>
      </w:r>
      <w:bookmarkEnd w:id="6"/>
    </w:p>
    <w:p>
      <w:hyperlink r:id="rId8" w:history="1">
        <w:r>
          <w:rPr>
            <w:color w:val="2980b9"/>
            <w:u w:val="single"/>
          </w:rPr>
          <w:t xml:space="preserve">https://www.fullpicture.app/item/db96cb3bbf0d487899eae766a0729fc0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2B4C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2.mathworks.cn/help/stats/fitcsvm.html" TargetMode="External"/><Relationship Id="rId8" Type="http://schemas.openxmlformats.org/officeDocument/2006/relationships/hyperlink" Target="https://www.fullpicture.app/item/db96cb3bbf0d487899eae766a0729f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2024-07-14T09:37:03+02:00</dcterms:created>
  <dcterms:modified xsi:type="dcterms:W3CDTF">2024-07-14T09:37:03+02:00</dcterms:modified>
</cp:coreProperties>
</file>

<file path=docProps/custom.xml><?xml version="1.0" encoding="utf-8"?>
<Properties xmlns="http://schemas.openxmlformats.org/officeDocument/2006/custom-properties" xmlns:vt="http://schemas.openxmlformats.org/officeDocument/2006/docPropsVTypes"/>
</file>