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Practice Recommendations for Diagnosis and Treatment of the Most Common Forms of Secondary Hypertension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https://pubmed.ncbi.nlm.nih.gov/33159664/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schematic algorithm is suggested for the diagnosis and treatment of hypertensive patients suspected of having pheochromocytoma and paraganglioma.</w:t>
      </w:r>
    </w:p>
    <w:p>
      <w:pPr>
        <w:jc w:val="both"/>
      </w:pPr>
      <w:r>
        <w:rPr/>
        <w:t xml:space="preserve">2. CT is recommended as the first-choice imaging modality for its excellent spatial resolution in the thorax, abdomen, and pelvis. MRI is recommended for detecting metastatic PPGLs and paragangliomas in the skull base and neck.</w:t>
      </w:r>
    </w:p>
    <w:p>
      <w:pPr>
        <w:jc w:val="both"/>
      </w:pPr>
      <w:r>
        <w:rPr/>
        <w:t xml:space="preserve">3. Biochemical screening should be performed after discontinuing interfering drugs and substances, with clonidine suppression test being a potential diagnostic tool if results remain elevated after repeating the measurement.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潜在偏见及其来源：文章没有明确提到作者的背景或利益冲突，这可能导致潜在的偏见。如果作者有与某种治疗方法或药物相关的利益关系，他们可能会倾向于推荐该方法或药物，而不考虑其他可能的选择。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片面报道：文章只提到了CT和MRI作为影像学检查的选择，但没有提及其他可能的选择，如超声波或核医学检查。这种片面报道可能导致读者对其他有效诊断方法的忽视。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无根据的主张：文章中提到了一种血液检测方法（clonidine抑制试验），声称具有100%的诊断特异性和97%的敏感性。然而，该方法并未在前瞻性研究中得到验证，因此其准确性和可靠性仍存在争议。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缺失的考虑点：文章没有讨论患者个体差异、年龄、性别、基础疾病等因素对诊断和治疗选择的影响。这些因素可能会对最佳实践建议产生重要影响，并且应该被纳入考虑。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所提出主张的缺失证据：文章中提到了一些诊断和治疗方法，但没有提供支持这些方法的具体研究或证据。读者无法确定这些建议是否基于科学依据。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未探索的反驳：文章没有探讨可能存在的其他观点或对所提出建议的反驳。这种单方面的呈现可能导致读者对问题的全面理解不足。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宣传内容和偏袒：文章中是否存在宣传内容或偏袒某种特定治疗方法或药物并不清楚。然而，如果作者有与某种治疗方法相关的利益关系，他们可能会倾向于推广该方法。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是否注意到可能的风险：文章没有明确讨论诊断和治疗方法可能带来的风险或副作用。这种忽略可能导致读者对潜在风险缺乏警惕性。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没有平等地呈现双方：文章没有平衡地呈现不同观点或证据，而是只提供了一种特定诊断和治疗方法。这种单方面的呈现可能导致读者对问题的全面理解不足。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总之，上述文章存在一些潜在偏见、片面报道、无根据的主张、缺失的考虑点和证据，以及未探索的反驳。读者应该对这些问题保持警惕，并在阅读时谨慎评估所提出的建议。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其他影像学检查选择
</w:t>
      </w:r>
    </w:p>
    <w:p>
      <w:pPr>
        <w:spacing w:after="0"/>
        <w:numPr>
          <w:ilvl w:val="0"/>
          <w:numId w:val="2"/>
        </w:numPr>
      </w:pPr>
      <w:r>
        <w:rPr/>
        <w:t xml:space="preserve">clonidine抑制试验的准确性和可靠性
</w:t>
      </w:r>
    </w:p>
    <w:p>
      <w:pPr>
        <w:spacing w:after="0"/>
        <w:numPr>
          <w:ilvl w:val="0"/>
          <w:numId w:val="2"/>
        </w:numPr>
      </w:pPr>
      <w:r>
        <w:rPr/>
        <w:t xml:space="preserve">患者个体差异和基础疾病的影响
</w:t>
      </w:r>
    </w:p>
    <w:p>
      <w:pPr>
        <w:spacing w:after="0"/>
        <w:numPr>
          <w:ilvl w:val="0"/>
          <w:numId w:val="2"/>
        </w:numPr>
      </w:pPr>
      <w:r>
        <w:rPr/>
        <w:t xml:space="preserve">支持诊断和治疗方法的具体研究或证据
</w:t>
      </w:r>
    </w:p>
    <w:p>
      <w:pPr>
        <w:numPr>
          <w:ilvl w:val="0"/>
          <w:numId w:val="2"/>
        </w:numPr>
      </w:pPr>
      <w:r>
        <w:rPr/>
        <w:t xml:space="preserve">其他观点和对建议的反驳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https://www.fullpicture.app/item/d93a4d6b897f79bef49fe77626aef520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318E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159664/" TargetMode="External"/><Relationship Id="rId8" Type="http://schemas.openxmlformats.org/officeDocument/2006/relationships/hyperlink" Target="https://www.fullpicture.app/item/d93a4d6b897f79bef49fe77626aef5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2023-12-19T02:19:08+01:00</dcterms:created>
  <dcterms:modified xsi:type="dcterms:W3CDTF">2023-12-19T02:19:08+01:00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