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Genetic and clinical determinants of mizoribine pharmacokinetics in renal transplant recipients - PubMed</w:t>
      </w:r>
      <w:br/>
      <w:hyperlink r:id="rId7" w:history="1">
        <w:r>
          <w:rPr>
            <w:color w:val="2980b9"/>
            <w:u w:val="single"/>
          </w:rPr>
          <w:t xml:space="preserve">https://pubmed.ncbi.nlm.nih.gov/32803290/</w:t>
        </w:r>
      </w:hyperlink>
    </w:p>
    <w:p>
      <w:pPr>
        <w:pStyle w:val="Heading1"/>
      </w:pPr>
      <w:bookmarkStart w:id="2" w:name="_Toc2"/>
      <w:r>
        <w:t>Article summary:</w:t>
      </w:r>
      <w:bookmarkEnd w:id="2"/>
    </w:p>
    <w:p>
      <w:pPr>
        <w:jc w:val="both"/>
      </w:pPr>
      <w:r>
        <w:rPr/>
        <w:t xml:space="preserve">1. 该研究旨在探索影响米索前列酮（MZR）药代动力学过程的遗传和临床因素。MZR是亚洲国家用于预防移植物排斥反应的免疫抑制剂，但其药代动力学存在很大的变异性，限制了其临床应用。</w:t>
      </w:r>
    </w:p>
    <w:p>
      <w:pPr>
        <w:jc w:val="both"/>
      </w:pPr>
      <w:r>
        <w:rPr/>
        <w:t xml:space="preserve"/>
      </w:r>
    </w:p>
    <w:p>
      <w:pPr>
        <w:jc w:val="both"/>
      </w:pPr>
      <w:r>
        <w:rPr/>
        <w:t xml:space="preserve">2. 研究发现，在39个基因中筛选出的146个单核苷酸多态性（SNP）中，CREB1 rs11904814 TT基因型携带者的AUC0-12h/D值较G等位基因携带者高（3.135 ± 0.928 vs 2.084 ± 0.379 μg h ml-1 mg-1, p = 0.007）。SLC28A3 rs10868138 TT基因型携带者的t1/2值较C等位基因携带者低（0.728 ± 0.189 vs 0.951 ± 0.196 h, p = 0.001）。</w:t>
      </w:r>
    </w:p>
    <w:p>
      <w:pPr>
        <w:jc w:val="both"/>
      </w:pPr>
      <w:r>
        <w:rPr/>
        <w:t xml:space="preserve"/>
      </w:r>
    </w:p>
    <w:p>
      <w:pPr>
        <w:jc w:val="both"/>
      </w:pPr>
      <w:r>
        <w:rPr/>
        <w:t xml:space="preserve">3. 血清肌酐（SCr）解释了C0/D变异性的35.5%（p &lt; 0.001）。将SCr纳入模型后，CREB1和SLC28A3基因型分别解释了AUC0-12h/D和t1/2变异性的20%（p = 0.038）和46.5%（p &lt; 0.001）。</w:t>
      </w:r>
    </w:p>
    <w:p>
      <w:pPr>
        <w:jc w:val="both"/>
      </w:pPr>
      <w:r>
        <w:rPr/>
        <w:t xml:space="preserve"/>
      </w:r>
    </w:p>
    <w:p>
      <w:pPr>
        <w:jc w:val="both"/>
      </w:pPr>
      <w:r>
        <w:rPr/>
        <w:t xml:space="preserve">总结：该研究发现CREB1和SLC28A3基因型以及血清肌酐是预测肾移植受者间个体差异的MZR药代动力学的决定因素。</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对于上述文章的详细批判性分析，需要注意以下几个方面：</w:t>
      </w:r>
    </w:p>
    <w:p>
      <w:pPr>
        <w:jc w:val="both"/>
      </w:pPr>
      <w:r>
        <w:rPr/>
        <w:t xml:space="preserve"/>
      </w:r>
    </w:p>
    <w:p>
      <w:pPr>
        <w:jc w:val="both"/>
      </w:pPr>
      <w:r>
        <w:rPr/>
        <w:t xml:space="preserve">1. 偏见及来源：文章没有明确提到作者的潜在偏见或利益冲突。这可能导致作者在研究设计、结果解释和结论推断中存在一定的偏见。</w:t>
      </w:r>
    </w:p>
    <w:p>
      <w:pPr>
        <w:jc w:val="both"/>
      </w:pPr>
      <w:r>
        <w:rPr/>
        <w:t xml:space="preserve"/>
      </w:r>
    </w:p>
    <w:p>
      <w:pPr>
        <w:jc w:val="both"/>
      </w:pPr>
      <w:r>
        <w:rPr/>
        <w:t xml:space="preserve">2. 片面报道：文章只关注了Mizoribine（MZR）药代动力学差异的遗传和临床因素，而忽略了其他可能影响MZR药效和安全性的因素，如患者年龄、性别、肝功能等。这种片面报道可能导致对MZR药代动力学影响因素的不完整理解。</w:t>
      </w:r>
    </w:p>
    <w:p>
      <w:pPr>
        <w:jc w:val="both"/>
      </w:pPr>
      <w:r>
        <w:rPr/>
        <w:t xml:space="preserve"/>
      </w:r>
    </w:p>
    <w:p>
      <w:pPr>
        <w:jc w:val="both"/>
      </w:pPr>
      <w:r>
        <w:rPr/>
        <w:t xml:space="preserve">3. 无根据的主张：文章提到CREB1和SLC28A3基因型与MZR药代动力学差异有关，但未提供足够的证据来支持这一主张。缺乏相关研究数据或机制解释使得这些主张缺乏可信度。</w:t>
      </w:r>
    </w:p>
    <w:p>
      <w:pPr>
        <w:jc w:val="both"/>
      </w:pPr>
      <w:r>
        <w:rPr/>
        <w:t xml:space="preserve"/>
      </w:r>
    </w:p>
    <w:p>
      <w:pPr>
        <w:jc w:val="both"/>
      </w:pPr>
      <w:r>
        <w:rPr/>
        <w:t xml:space="preserve">4. 缺失的考虑点：文章未考虑其他可能影响MZR药代动力学差异的因素，如环境因素、遗传多态性之间的相互作用等。这些缺失可能导致对MZR药代动力学差异的解释不完整。</w:t>
      </w:r>
    </w:p>
    <w:p>
      <w:pPr>
        <w:jc w:val="both"/>
      </w:pPr>
      <w:r>
        <w:rPr/>
        <w:t xml:space="preserve"/>
      </w:r>
    </w:p>
    <w:p>
      <w:pPr>
        <w:jc w:val="both"/>
      </w:pPr>
      <w:r>
        <w:rPr/>
        <w:t xml:space="preserve">5. 所提出主张的缺失证据：文章提到CREB1和SLC28A3基因型与MZR药代动力学差异有关，但未提供相关的实验数据或统计分析结果来支持这一主张。缺乏充分的证据使得这些主张缺乏可信度。</w:t>
      </w:r>
    </w:p>
    <w:p>
      <w:pPr>
        <w:jc w:val="both"/>
      </w:pPr>
      <w:r>
        <w:rPr/>
        <w:t xml:space="preserve"/>
      </w:r>
    </w:p>
    <w:p>
      <w:pPr>
        <w:jc w:val="both"/>
      </w:pPr>
      <w:r>
        <w:rPr/>
        <w:t xml:space="preserve">6. 未探索的反驳：文章未对可能存在的反驳观点进行探讨。例如，是否有其他基因型或临床因素可能对MZR药代动力学产生影响？这种未探索的反驳可能导致结论的不完整性。</w:t>
      </w:r>
    </w:p>
    <w:p>
      <w:pPr>
        <w:jc w:val="both"/>
      </w:pPr>
      <w:r>
        <w:rPr/>
        <w:t xml:space="preserve"/>
      </w:r>
    </w:p>
    <w:p>
      <w:pPr>
        <w:jc w:val="both"/>
      </w:pPr>
      <w:r>
        <w:rPr/>
        <w:t xml:space="preserve">7. 宣传内容：文章没有明确指出任何潜在风险或限制条件，而只强调了CREB1和SLC28A3基因型与MZR药代动力学差异之间的关联。这种宣传内容可能导致读者对MZR药物治疗效果和安全性的误解。</w:t>
      </w:r>
    </w:p>
    <w:p>
      <w:pPr>
        <w:jc w:val="both"/>
      </w:pPr>
      <w:r>
        <w:rPr/>
        <w:t xml:space="preserve"/>
      </w:r>
    </w:p>
    <w:p>
      <w:pPr>
        <w:jc w:val="both"/>
      </w:pPr>
      <w:r>
        <w:rPr/>
        <w:t xml:space="preserve">8. 偏袒：文章没有平等地呈现双方观点或结果。作者似乎更倾向于支持CREB1和SLC28A3基因型与MZR药代动力学差异之间的关联，而忽略了其他可能解释这些差异的因素。</w:t>
      </w:r>
    </w:p>
    <w:p>
      <w:pPr>
        <w:jc w:val="both"/>
      </w:pPr>
      <w:r>
        <w:rPr/>
        <w:t xml:space="preserve"/>
      </w:r>
    </w:p>
    <w:p>
      <w:pPr>
        <w:jc w:val="both"/>
      </w:pPr>
      <w:r>
        <w:rPr/>
        <w:t xml:space="preserve">综上所述，上述文章存在一些潜在问题，包括偏见、片面报道、无根据的主张、缺失的考虑点、所提出主张的缺失证据、未探索的反驳、宣传内容和偏袒。对于这篇文章的结论和结果，需要更多的研究来验证和支持。</w:t>
      </w:r>
    </w:p>
    <w:p>
      <w:pPr>
        <w:pStyle w:val="Heading1"/>
      </w:pPr>
      <w:bookmarkStart w:id="5" w:name="_Toc5"/>
      <w:r>
        <w:t>Topics for further research:</w:t>
      </w:r>
      <w:bookmarkEnd w:id="5"/>
    </w:p>
    <w:p>
      <w:pPr>
        <w:spacing w:after="0"/>
        <w:numPr>
          <w:ilvl w:val="0"/>
          <w:numId w:val="2"/>
        </w:numPr>
      </w:pPr>
      <w:r>
        <w:rPr/>
        <w:t xml:space="preserve">Mizoribine pharmacokinetics bias and sources
</w:t>
      </w:r>
    </w:p>
    <w:p>
      <w:pPr>
        <w:spacing w:after="0"/>
        <w:numPr>
          <w:ilvl w:val="0"/>
          <w:numId w:val="2"/>
        </w:numPr>
      </w:pPr>
      <w:r>
        <w:rPr/>
        <w:t xml:space="preserve">Factors influencing Mizoribine efficacy and safety
</w:t>
      </w:r>
    </w:p>
    <w:p>
      <w:pPr>
        <w:spacing w:after="0"/>
        <w:numPr>
          <w:ilvl w:val="0"/>
          <w:numId w:val="2"/>
        </w:numPr>
      </w:pPr>
      <w:r>
        <w:rPr/>
        <w:t xml:space="preserve">Lack of evidence for claims about CREB1 and SLC28A3 genotypes
</w:t>
      </w:r>
    </w:p>
    <w:p>
      <w:pPr>
        <w:spacing w:after="0"/>
        <w:numPr>
          <w:ilvl w:val="0"/>
          <w:numId w:val="2"/>
        </w:numPr>
      </w:pPr>
      <w:r>
        <w:rPr/>
        <w:t xml:space="preserve">Missing considerations in Mizoribine pharmacokinetics analysis
</w:t>
      </w:r>
    </w:p>
    <w:p>
      <w:pPr>
        <w:spacing w:after="0"/>
        <w:numPr>
          <w:ilvl w:val="0"/>
          <w:numId w:val="2"/>
        </w:numPr>
      </w:pPr>
      <w:r>
        <w:rPr/>
        <w:t xml:space="preserve">Lack of evidence for proposed claims
</w:t>
      </w:r>
    </w:p>
    <w:p>
      <w:pPr>
        <w:spacing w:after="0"/>
        <w:numPr>
          <w:ilvl w:val="0"/>
          <w:numId w:val="2"/>
        </w:numPr>
      </w:pPr>
      <w:r>
        <w:rPr/>
        <w:t xml:space="preserve">Unexplored counterarguments to the findings
</w:t>
      </w:r>
    </w:p>
    <w:p>
      <w:pPr>
        <w:spacing w:after="0"/>
        <w:numPr>
          <w:ilvl w:val="0"/>
          <w:numId w:val="2"/>
        </w:numPr>
      </w:pPr>
      <w:r>
        <w:rPr/>
        <w:t xml:space="preserve">Promotion without mentioning potential risks or limitations
</w:t>
      </w:r>
    </w:p>
    <w:p>
      <w:pPr>
        <w:spacing w:after="0"/>
        <w:numPr>
          <w:ilvl w:val="0"/>
          <w:numId w:val="2"/>
        </w:numPr>
      </w:pPr>
      <w:r>
        <w:rPr/>
        <w:t xml:space="preserve">Biased presentation of results and viewpoints
By using these key phrases</w:t>
      </w:r>
    </w:p>
    <w:p>
      <w:pPr>
        <w:numPr>
          <w:ilvl w:val="0"/>
          <w:numId w:val="2"/>
        </w:numPr>
      </w:pPr>
      <w:r>
        <w:rPr/>
        <w:t xml:space="preserve">users can conduct further research to gain a more comprehensive understanding of the potential issues in the article and the need for additional studies to validate and support the conclusions and findings.</w:t>
      </w:r>
    </w:p>
    <w:p>
      <w:pPr>
        <w:pStyle w:val="Heading1"/>
      </w:pPr>
      <w:bookmarkStart w:id="6" w:name="_Toc6"/>
      <w:r>
        <w:t>Report location:</w:t>
      </w:r>
      <w:bookmarkEnd w:id="6"/>
    </w:p>
    <w:p>
      <w:hyperlink r:id="rId8" w:history="1">
        <w:r>
          <w:rPr>
            <w:color w:val="2980b9"/>
            <w:u w:val="single"/>
          </w:rPr>
          <w:t xml:space="preserve">https://www.fullpicture.app/item/d8bfd788a3ec8fb89d5543111aad5857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ED27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803290/" TargetMode="External"/><Relationship Id="rId8" Type="http://schemas.openxmlformats.org/officeDocument/2006/relationships/hyperlink" Target="https://www.fullpicture.app/item/d8bfd788a3ec8fb89d5543111aad58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2024-03-10T16:57:42+01:00</dcterms:created>
  <dcterms:modified xsi:type="dcterms:W3CDTF">2024-03-10T16:57:42+01:00</dcterms:modified>
</cp:coreProperties>
</file>

<file path=docProps/custom.xml><?xml version="1.0" encoding="utf-8"?>
<Properties xmlns="http://schemas.openxmlformats.org/officeDocument/2006/custom-properties" xmlns:vt="http://schemas.openxmlformats.org/officeDocument/2006/docPropsVTypes"/>
</file>