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Biomimetic immunomodulation by crosstalk with nanoparticulate regulatory T cells: Matter</w:t>
      </w:r>
      <w:br/>
      <w:hyperlink r:id="rId7" w:history="1">
        <w:r>
          <w:rPr>
            <w:color w:val="2980b9"/>
            <w:u w:val="single"/>
          </w:rPr>
          <w:t xml:space="preserve">https://www.cell.com/matter/fulltext/S2590-2385(21)00409-4?_returnURL=https%3A%2F%2Flinkinghub.elsevier.com%2Fretrieve%2Fpii%2FS2590238521004094%3Fshowall%3Dtrue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通过与纳米颗粒调节性T细胞的相互作用，实现仿生免疫调节。</w:t>
      </w:r>
    </w:p>
    <w:p>
      <w:pPr>
        <w:jc w:val="both"/>
      </w:pPr>
      <w:r>
        <w:rPr/>
        <w:t xml:space="preserve">2. 纳米颗粒调节性T细胞可以抑制巨噬细胞、树突状细胞和T细胞的活动。</w:t>
      </w:r>
    </w:p>
    <w:p>
      <w:pPr>
        <w:jc w:val="both"/>
      </w:pPr>
      <w:r>
        <w:rPr/>
        <w:t xml:space="preserve">3. 在慢性牙周炎的大动物模型中，纳米颗粒调节性T细胞成功地抑制了过度的免疫反应，缓解了炎症并减轻了牙槽骨吸收。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一种通过与纳米颗粒调节性T细胞的相互作用来模拟生物仿生免疫调节的策略。文章声称这种方法可以减轻免疫炎症反应并保护受炎组织，在慢性牙周炎的大动物模型中取得了成功。然而，这篇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首先，文章没有提及可能存在的风险和副作用。虽然该方法在动物模型中显示出潜在的治疗效果，但其安全性和可行性仍需进一步评估。例如，纳米颗粒可能引起免疫系统的不良反应或其他副作用。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其次，文章没有平等地呈现双方观点。它只关注了纳米颗粒调节性T细胞对过度活跃免疫细胞的抑制作用，而没有探讨其他可能的治疗方法或观点。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此外，文章缺乏对所提出主张的证据支持。虽然作者声称纳米颗粒调节性T细胞可以抑制多种过度活跃免疫细胞，并在动物模型中取得了成功，但缺乏详细的实验数据和统计分析来支持这些主张。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文章还存在宣传内容和偏袒的问题。它过于强调纳米颗粒调节性T细胞的潜力和优势，而忽视了其他可能的治疗方法或观点。此外，文章没有提及任何潜在的利益冲突或资金来源。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总之，这篇文章在介绍一种新颖的免疫调节策略时存在一些问题和偏见。进一步的研究和证据需要来验证该方法的安全性、有效性和可行性，并平衡呈现不同观点和风险。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纳米颗粒调节性T细胞的风险和副作用
</w:t>
      </w:r>
    </w:p>
    <w:p>
      <w:pPr>
        <w:spacing w:after="0"/>
        <w:numPr>
          <w:ilvl w:val="0"/>
          <w:numId w:val="2"/>
        </w:numPr>
      </w:pPr>
      <w:r>
        <w:rPr/>
        <w:t xml:space="preserve">其他可能的治疗方法或观点
</w:t>
      </w:r>
    </w:p>
    <w:p>
      <w:pPr>
        <w:spacing w:after="0"/>
        <w:numPr>
          <w:ilvl w:val="0"/>
          <w:numId w:val="2"/>
        </w:numPr>
      </w:pPr>
      <w:r>
        <w:rPr/>
        <w:t xml:space="preserve">对纳米颗粒调节性T细胞的证据支持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文章的宣传内容和偏袒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潜在的利益冲突或资金来源
</w:t>
      </w:r>
    </w:p>
    <w:p>
      <w:pPr>
        <w:numPr>
          <w:ilvl w:val="0"/>
          <w:numId w:val="2"/>
        </w:numPr>
      </w:pPr>
      <w:r>
        <w:rPr/>
        <w:t xml:space="preserve">进一步研究和证据的需求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https://www.fullpicture.app/item/d73c2c32bc2a2e2eaf3a91b59232a74d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BF213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ll.com/matter/fulltext/S2590-2385(21)00409-4?_returnURL=https%3A%2F%2Flinkinghub.elsevier.com%2Fretrieve%2Fpii%2FS2590238521004094%3Fshowall%3Dtrue" TargetMode="External"/><Relationship Id="rId8" Type="http://schemas.openxmlformats.org/officeDocument/2006/relationships/hyperlink" Target="https://www.fullpicture.app/item/d73c2c32bc2a2e2eaf3a91b59232a74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2024-04-21T08:50:39+02:00</dcterms:created>
  <dcterms:modified xsi:type="dcterms:W3CDTF">2024-04-21T08:50:39+02:00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