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Credit Suisse And Equity Markets Teeter On The Brink | ZeroHedge</w:t>
      </w:r>
      <w:br/>
      <w:hyperlink r:id="rId7" w:history="1">
        <w:r>
          <w:rPr>
            <w:color w:val="2980b9"/>
            <w:u w:val="single"/>
          </w:rPr>
          <w:t xml:space="preserve">https://www.zerohedge.com/news/2023-03-15/credit-suisse-and-equity-markets-teeter-brink</w:t>
        </w:r>
      </w:hyperlink>
    </w:p>
    <w:p>
      <w:pPr>
        <w:pStyle w:val="Heading1"/>
      </w:pPr>
      <w:bookmarkStart w:id="2" w:name="_Toc2"/>
      <w:r>
        <w:t>Article summary:</w:t>
      </w:r>
      <w:bookmarkEnd w:id="2"/>
    </w:p>
    <w:p>
      <w:pPr>
        <w:jc w:val="both"/>
      </w:pPr>
      <w:r>
        <w:rPr/>
        <w:t xml:space="preserve">1. Credit Suisse's biggest shareholder, Saudi National Bank, has ruled out further investment for the bank, leading to distressed levels of credit default swaps.</w:t>
      </w:r>
    </w:p>
    <w:p>
      <w:pPr>
        <w:jc w:val="both"/>
      </w:pPr>
      <w:r>
        <w:rPr/>
        <w:t xml:space="preserve">2. The situation has caused markets to become jittery following several bank runs and resultant bank shutdowns.</w:t>
      </w:r>
    </w:p>
    <w:p>
      <w:pPr>
        <w:jc w:val="both"/>
      </w:pPr>
      <w:r>
        <w:rPr/>
        <w:t xml:space="preserve">3. Credit Suisse's CEO defended the bank and its capital ratios, but the smallest spark of bad news can immediately burst into a state-wide wildfire in today's investing environment.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recent news about Credit Suisse and its biggest shareholder, Saudi National Bank, ruling out further investment for the bank. The author highlights that this news comes at a time when markets are already jittery following several bank runs and resultant bank shutdowns. The article also mentions that the cost of insuring the bank's bonds against default has risen to distressed levels.</w:t>
      </w:r>
    </w:p>
    <w:p>
      <w:pPr>
        <w:jc w:val="both"/>
      </w:pPr>
      <w:r>
        <w:rPr/>
        <w:t xml:space="preserve"/>
      </w:r>
    </w:p>
    <w:p>
      <w:pPr>
        <w:jc w:val="both"/>
      </w:pPr>
      <w:r>
        <w:rPr/>
        <w:t xml:space="preserve">While the article provides some useful information about the situation, it is important to note that it lacks balance and context. For example, it does not mention any positive developments or actions taken by Credit Suisse to address its issues. It also does not provide any analysis of how this situation might impact other banks or the broader financial system.</w:t>
      </w:r>
    </w:p>
    <w:p>
      <w:pPr>
        <w:jc w:val="both"/>
      </w:pPr>
      <w:r>
        <w:rPr/>
        <w:t xml:space="preserve"/>
      </w:r>
    </w:p>
    <w:p>
      <w:pPr>
        <w:jc w:val="both"/>
      </w:pPr>
      <w:r>
        <w:rPr/>
        <w:t xml:space="preserve">Furthermore, the article seems to have a negative bias towards Credit Suisse and portrays it as a distressed bank on the brink of collapse. While there may be some concerns about Credit Suisse's financial health, it is important to note that many other banks are facing similar challenges in today's volatile market environment.</w:t>
      </w:r>
    </w:p>
    <w:p>
      <w:pPr>
        <w:jc w:val="both"/>
      </w:pPr>
      <w:r>
        <w:rPr/>
        <w:t xml:space="preserve"/>
      </w:r>
    </w:p>
    <w:p>
      <w:pPr>
        <w:jc w:val="both"/>
      </w:pPr>
      <w:r>
        <w:rPr/>
        <w:t xml:space="preserve">Overall, while the article provides some useful information about the situation with Credit Suisse, readers should approach it with caution and seek out additional sources to gain a more balanced perspective on this issue.</w:t>
      </w:r>
    </w:p>
    <w:p>
      <w:pPr>
        <w:pStyle w:val="Heading1"/>
      </w:pPr>
      <w:bookmarkStart w:id="5" w:name="_Toc5"/>
      <w:r>
        <w:t>Topics for further research:</w:t>
      </w:r>
      <w:bookmarkEnd w:id="5"/>
    </w:p>
    <w:p>
      <w:pPr>
        <w:spacing w:after="0"/>
        <w:numPr>
          <w:ilvl w:val="0"/>
          <w:numId w:val="2"/>
        </w:numPr>
      </w:pPr>
      <w:r>
        <w:rPr/>
        <w:t xml:space="preserve">Credit Suisse recent developments and actions taken to address its issues
</w:t>
      </w:r>
    </w:p>
    <w:p>
      <w:pPr>
        <w:spacing w:after="0"/>
        <w:numPr>
          <w:ilvl w:val="0"/>
          <w:numId w:val="2"/>
        </w:numPr>
      </w:pPr>
      <w:r>
        <w:rPr/>
        <w:t xml:space="preserve">Analysis of the impact of Credit Suisse's situation on other banks and the financial system
</w:t>
      </w:r>
    </w:p>
    <w:p>
      <w:pPr>
        <w:spacing w:after="0"/>
        <w:numPr>
          <w:ilvl w:val="0"/>
          <w:numId w:val="2"/>
        </w:numPr>
      </w:pPr>
      <w:r>
        <w:rPr/>
        <w:t xml:space="preserve">Credit Suisse's financial health and performance in comparison to other banks
</w:t>
      </w:r>
    </w:p>
    <w:p>
      <w:pPr>
        <w:spacing w:after="0"/>
        <w:numPr>
          <w:ilvl w:val="0"/>
          <w:numId w:val="2"/>
        </w:numPr>
      </w:pPr>
      <w:r>
        <w:rPr/>
        <w:t xml:space="preserve">Saudi National Bank's investment strategy and reasons for ruling out further investment in Credit Suisse
</w:t>
      </w:r>
    </w:p>
    <w:p>
      <w:pPr>
        <w:spacing w:after="0"/>
        <w:numPr>
          <w:ilvl w:val="0"/>
          <w:numId w:val="2"/>
        </w:numPr>
      </w:pPr>
      <w:r>
        <w:rPr/>
        <w:t xml:space="preserve">The current market environment and its impact on banks and financial institutions
</w:t>
      </w:r>
    </w:p>
    <w:p>
      <w:pPr>
        <w:numPr>
          <w:ilvl w:val="0"/>
          <w:numId w:val="2"/>
        </w:numPr>
      </w:pPr>
      <w:r>
        <w:rPr/>
        <w:t xml:space="preserve">Credit Suisse's plans for future growth and stability in the face of market challenges.</w:t>
      </w:r>
    </w:p>
    <w:p>
      <w:pPr>
        <w:pStyle w:val="Heading1"/>
      </w:pPr>
      <w:bookmarkStart w:id="6" w:name="_Toc6"/>
      <w:r>
        <w:t>Report location:</w:t>
      </w:r>
      <w:bookmarkEnd w:id="6"/>
    </w:p>
    <w:p>
      <w:hyperlink r:id="rId8" w:history="1">
        <w:r>
          <w:rPr>
            <w:color w:val="2980b9"/>
            <w:u w:val="single"/>
          </w:rPr>
          <w:t xml:space="preserve">https://www.fullpicture.app/item/d6ddb1b6c891d311004df52956cf3a96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9447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erohedge.com/news/2023-03-15/credit-suisse-and-equity-markets-teeter-brink" TargetMode="External"/><Relationship Id="rId8" Type="http://schemas.openxmlformats.org/officeDocument/2006/relationships/hyperlink" Target="https://www.fullpicture.app/item/d6ddb1b6c891d311004df52956cf3a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2023-05-30T16:33:31+02:00</dcterms:created>
  <dcterms:modified xsi:type="dcterms:W3CDTF">2023-05-30T16:33:31+02:00</dcterms:modified>
</cp:coreProperties>
</file>

<file path=docProps/custom.xml><?xml version="1.0" encoding="utf-8"?>
<Properties xmlns="http://schemas.openxmlformats.org/officeDocument/2006/custom-properties" xmlns:vt="http://schemas.openxmlformats.org/officeDocument/2006/docPropsVTypes"/>
</file>