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 BDO vous accompagne à prendre le virage de la durabilité ? - Fiscalité &gt; Réglementation - Daf-Mag.fr</w:t>
      </w:r>
      <w:br/>
      <w:hyperlink r:id="rId7" w:history="1">
        <w:r>
          <w:rPr>
            <w:color w:val="2980b9"/>
            <w:u w:val="single"/>
          </w:rPr>
          <w:t xml:space="preserve">https://www.daf-mag.fr/Thematique/reglementation-1243/fiscalite-2115/Breves/Comment-BDO-vous-accompagne-a-prendre-le-virage-de-la-379830.htm</w:t>
        </w:r>
      </w:hyperlink>
    </w:p>
    <w:p>
      <w:pPr>
        <w:pStyle w:val="Heading1"/>
      </w:pPr>
      <w:bookmarkStart w:id="2" w:name="_Toc2"/>
      <w:r>
        <w:t>Article summary:</w:t>
      </w:r>
      <w:bookmarkEnd w:id="2"/>
    </w:p>
    <w:p>
      <w:pPr>
        <w:jc w:val="both"/>
      </w:pPr>
      <w:r>
        <w:rPr/>
        <w:t xml:space="preserve">1. BDO propose un accompagnement en durabilité comprenant des offres d'audit légal et contractuel ESG, de conseil en transformation durable, de mise en conformité et de mesure d'impact.</w:t>
      </w:r>
    </w:p>
    <w:p>
      <w:pPr>
        <w:jc w:val="both"/>
      </w:pPr>
      <w:r>
        <w:rPr/>
        <w:t xml:space="preserve">2. La directive sur la reporting de durabilité des entreprises (CSRD), ainsi que d'autres réglementations sur la finance durable et la taxonomie verte, imposent de nouvelles obligations aux entreprises en matière de reporting extra-financier.</w:t>
      </w:r>
    </w:p>
    <w:p>
      <w:pPr>
        <w:jc w:val="both"/>
      </w:pPr>
      <w:r>
        <w:rPr/>
        <w:t xml:space="preserve">3. La CSRD peut être un levier stratégique pour les entreprises engagées dans des politiques RSE, permettant une convergence entre les stratégies "business" et l'impact social et environnemental.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offres de BDO en matière d'accompagnement des entreprises dans leur transition vers la durabilité, notamment en ce qui concerne les nouvelles exigences de reporting extra-financier. L'expertise d'Audrey Leroy, associée département développement durable de BDO, est mise en avant pour éclairer les lecteurs sur leurs obligations réglementaires.</w:t>
      </w:r>
    </w:p>
    <w:p>
      <w:pPr>
        <w:jc w:val="both"/>
      </w:pPr>
      <w:r>
        <w:rPr/>
        <w:t xml:space="preserve"/>
      </w:r>
    </w:p>
    <w:p>
      <w:pPr>
        <w:jc w:val="both"/>
      </w:pPr>
      <w:r>
        <w:rPr/>
        <w:t xml:space="preserve">Cependant, l'article semble être un contenu promotionnel pour BDO plutôt qu'une analyse critique impartiale. Il ne mentionne pas les limites ou les critiques potentielles des offres de BDO et ne présente pas d'autres options ou alternatives pour les entreprises qui cherchent à se conformer aux nouvelles réglementations. De plus, il n'y a pas suffisamment de preuves pour étayer certaines affirmations faites dans l'article, telles que l'impact économique et politique de la CSRD sur la redirection des flux financiers européens privés vers des investissements durables.</w:t>
      </w:r>
    </w:p>
    <w:p>
      <w:pPr>
        <w:jc w:val="both"/>
      </w:pPr>
      <w:r>
        <w:rPr/>
        <w:t xml:space="preserve"/>
      </w:r>
    </w:p>
    <w:p>
      <w:pPr>
        <w:jc w:val="both"/>
      </w:pPr>
      <w:r>
        <w:rPr/>
        <w:t xml:space="preserve">Enfin, l'article ne présente pas les deux côtés de manière égale en ce qui concerne l'inflation normative potentielle causée par la CSRD. Bien que l'expertise d'Audrey Leroy suggère que cette nouvelle réglementation peut être un levier stratégique pour prolonger les politiques RSE existantes, il n'y a pas eu d'exploration des contre-arguments ou des risques possibles associés à cette inflation normative.</w:t>
      </w:r>
    </w:p>
    <w:p>
      <w:pPr>
        <w:pStyle w:val="Heading1"/>
      </w:pPr>
      <w:bookmarkStart w:id="5" w:name="_Toc5"/>
      <w:r>
        <w:t>Topics for further research:</w:t>
      </w:r>
      <w:bookmarkEnd w:id="5"/>
    </w:p>
    <w:p>
      <w:pPr>
        <w:spacing w:after="0"/>
        <w:numPr>
          <w:ilvl w:val="0"/>
          <w:numId w:val="2"/>
        </w:numPr>
      </w:pPr>
      <w:r>
        <w:rPr/>
        <w:t xml:space="preserve">Les limites et critiques des offres de BDO pour la transition vers la durabilité.
</w:t>
      </w:r>
    </w:p>
    <w:p>
      <w:pPr>
        <w:spacing w:after="0"/>
        <w:numPr>
          <w:ilvl w:val="0"/>
          <w:numId w:val="2"/>
        </w:numPr>
      </w:pPr>
      <w:r>
        <w:rPr/>
        <w:t xml:space="preserve">Alternatives pour les entreprises cherchant à se conformer aux nouvelles réglementations extra-financières.
</w:t>
      </w:r>
    </w:p>
    <w:p>
      <w:pPr>
        <w:spacing w:after="0"/>
        <w:numPr>
          <w:ilvl w:val="0"/>
          <w:numId w:val="2"/>
        </w:numPr>
      </w:pPr>
      <w:r>
        <w:rPr/>
        <w:t xml:space="preserve">Preuves pour étayer l'impact économique et politique de la CSRD sur les investissements durables.
</w:t>
      </w:r>
    </w:p>
    <w:p>
      <w:pPr>
        <w:spacing w:after="0"/>
        <w:numPr>
          <w:ilvl w:val="0"/>
          <w:numId w:val="2"/>
        </w:numPr>
      </w:pPr>
      <w:r>
        <w:rPr/>
        <w:t xml:space="preserve">Les risques potentiels associés à l'inflation normative causée par la CSRD.
</w:t>
      </w:r>
    </w:p>
    <w:p>
      <w:pPr>
        <w:spacing w:after="0"/>
        <w:numPr>
          <w:ilvl w:val="0"/>
          <w:numId w:val="2"/>
        </w:numPr>
      </w:pPr>
      <w:r>
        <w:rPr/>
        <w:t xml:space="preserve">Les contre-arguments à l'idée que la CSRD peut être un levier stratégique pour prolonger les politiques RSE existantes.
</w:t>
      </w:r>
    </w:p>
    <w:p>
      <w:pPr>
        <w:numPr>
          <w:ilvl w:val="0"/>
          <w:numId w:val="2"/>
        </w:numPr>
      </w:pPr>
      <w:r>
        <w:rPr/>
        <w:t xml:space="preserve">Les perspectives des parties prenantes autres que BDO sur la CSRD et les réglementations extra-financières.</w:t>
      </w:r>
    </w:p>
    <w:p>
      <w:pPr>
        <w:pStyle w:val="Heading1"/>
      </w:pPr>
      <w:bookmarkStart w:id="6" w:name="_Toc6"/>
      <w:r>
        <w:t>Report location:</w:t>
      </w:r>
      <w:bookmarkEnd w:id="6"/>
    </w:p>
    <w:p>
      <w:hyperlink r:id="rId8" w:history="1">
        <w:r>
          <w:rPr>
            <w:color w:val="2980b9"/>
            <w:u w:val="single"/>
          </w:rPr>
          <w:t xml:space="preserve">https://www.fullpicture.app/item/d597f21214c365faedc7de29ccc47ff4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2B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f-mag.fr/Thematique/reglementation-1243/fiscalite-2115/Breves/Comment-BDO-vous-accompagne-a-prendre-le-virage-de-la-379830.htm" TargetMode="External"/><Relationship Id="rId8" Type="http://schemas.openxmlformats.org/officeDocument/2006/relationships/hyperlink" Target="https://www.fullpicture.app/item/d597f21214c365faedc7de29ccc47f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2024-01-08T13:47:44+01:00</dcterms:created>
  <dcterms:modified xsi:type="dcterms:W3CDTF">2024-01-08T13:47:44+01:00</dcterms:modified>
</cp:coreProperties>
</file>

<file path=docProps/custom.xml><?xml version="1.0" encoding="utf-8"?>
<Properties xmlns="http://schemas.openxmlformats.org/officeDocument/2006/custom-properties" xmlns:vt="http://schemas.openxmlformats.org/officeDocument/2006/docPropsVTypes"/>
</file>