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Gause v. McClelland :: :: California Court of Appeal Decisions :: California Case Law :: California Law :: US Law :: Justia</w:t>
      </w:r>
      <w:br/>
      <w:hyperlink r:id="rId7" w:history="1">
        <w:r>
          <w:rPr>
            <w:color w:val="2980b9"/>
            <w:u w:val="single"/>
          </w:rPr>
          <w:t xml:space="preserve">https://law.justia.com/cases/california/court-of-appeal/2d/102/762.html</w:t>
        </w:r>
      </w:hyperlink>
    </w:p>
    <w:p>
      <w:pPr>
        <w:pStyle w:val="Heading1"/>
      </w:pPr>
      <w:bookmarkStart w:id="2" w:name="_Toc2"/>
      <w:r>
        <w:t>Article summary:</w:t>
      </w:r>
      <w:bookmarkEnd w:id="2"/>
    </w:p>
    <w:p>
      <w:pPr>
        <w:jc w:val="both"/>
      </w:pPr>
      <w:r>
        <w:rPr/>
        <w:t xml:space="preserve">1. Plaintiffs leased an apartment from defendant, but difficulties arose and defendant tried to evict them. </w:t>
      </w:r>
    </w:p>
    <w:p>
      <w:pPr>
        <w:jc w:val="both"/>
      </w:pPr>
      <w:r>
        <w:rPr/>
        <w:t xml:space="preserve">2. Defendant obtained permission to file an action in unlawful detainer seeking possession of the apartment, which was granted by the municipal court but later reversed on appeal. </w:t>
      </w:r>
    </w:p>
    <w:p>
      <w:pPr>
        <w:jc w:val="both"/>
      </w:pPr>
      <w:r>
        <w:rPr/>
        <w:t xml:space="preserve">3. The plaintiffs' tort action for malicious prosecution failed because they did not prove a want of probable cause, and the judgment in favor of plaintiffs was reversed.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case in which a tenant sued their landlord for malicious prosecution after being evicted from their apartment. The court ultimately ruled in favor of the landlord, citing the absence of evidence that the landlord had acted without probable cause in filing an unlawful detainer action against the tenant.</w:t>
      </w:r>
    </w:p>
    <w:p>
      <w:pPr>
        <w:jc w:val="both"/>
      </w:pPr>
      <w:r>
        <w:rPr/>
        <w:t xml:space="preserve"/>
      </w:r>
    </w:p>
    <w:p>
      <w:pPr>
        <w:jc w:val="both"/>
      </w:pPr>
      <w:r>
        <w:rPr/>
        <w:t xml:space="preserve">Overall, the article appears to be a straightforward report of the court's decision and reasoning. However, there are a few potential biases or missing points of consideration worth noting.</w:t>
      </w:r>
    </w:p>
    <w:p>
      <w:pPr>
        <w:jc w:val="both"/>
      </w:pPr>
      <w:r>
        <w:rPr/>
        <w:t xml:space="preserve"/>
      </w:r>
    </w:p>
    <w:p>
      <w:pPr>
        <w:jc w:val="both"/>
      </w:pPr>
      <w:r>
        <w:rPr/>
        <w:t xml:space="preserve">Firstly, it is worth considering whether the court's ruling was fair to the tenant. While it is true that a lack of probable cause is typically required to prove malicious prosecution, it is possible that the landlord acted with malice or other improper motives even if they had some legal basis for filing an unlawful detainer action. Additionally, it is unclear from the article whether there were any extenuating circumstances that might have influenced the court's decision (e.g. if there were procedural errors in how the case was handled).</w:t>
      </w:r>
    </w:p>
    <w:p>
      <w:pPr>
        <w:jc w:val="both"/>
      </w:pPr>
      <w:r>
        <w:rPr/>
        <w:t xml:space="preserve"/>
      </w:r>
    </w:p>
    <w:p>
      <w:pPr>
        <w:jc w:val="both"/>
      </w:pPr>
      <w:r>
        <w:rPr/>
        <w:t xml:space="preserve">Another potential bias in the article is its focus on legal technicalities rather than broader ethical considerations. For example, while it may be legally permissible for a landlord to evict a tenant through an unlawful detainer action if they have some legal basis for doing so, this does not necessarily mean that such actions are morally justifiable or socially responsible. The article does not explore these broader questions.</w:t>
      </w:r>
    </w:p>
    <w:p>
      <w:pPr>
        <w:jc w:val="both"/>
      </w:pPr>
      <w:r>
        <w:rPr/>
        <w:t xml:space="preserve"/>
      </w:r>
    </w:p>
    <w:p>
      <w:pPr>
        <w:jc w:val="both"/>
      </w:pPr>
      <w:r>
        <w:rPr/>
        <w:t xml:space="preserve">Finally, it is worth noting that the article does not provide much context about why this case might be relevant or important beyond its specific legal outcome. For example, are there broader trends or issues related to tenants' rights and eviction practices that this case sheds light on? Without more information about these larger issues, readers may struggle to understand why this particular case matters.</w:t>
      </w:r>
    </w:p>
    <w:p>
      <w:pPr>
        <w:pStyle w:val="Heading1"/>
      </w:pPr>
      <w:bookmarkStart w:id="5" w:name="_Toc5"/>
      <w:r>
        <w:t>Topics for further research:</w:t>
      </w:r>
      <w:bookmarkEnd w:id="5"/>
    </w:p>
    <w:p>
      <w:pPr>
        <w:spacing w:after="0"/>
        <w:numPr>
          <w:ilvl w:val="0"/>
          <w:numId w:val="2"/>
        </w:numPr>
      </w:pPr>
      <w:r>
        <w:rPr/>
        <w:t xml:space="preserve">Tenant rights and eviction practices in the United States
</w:t>
      </w:r>
    </w:p>
    <w:p>
      <w:pPr>
        <w:spacing w:after="0"/>
        <w:numPr>
          <w:ilvl w:val="0"/>
          <w:numId w:val="2"/>
        </w:numPr>
      </w:pPr>
      <w:r>
        <w:rPr/>
        <w:t xml:space="preserve">Malicious prosecution and its legal requirements
</w:t>
      </w:r>
    </w:p>
    <w:p>
      <w:pPr>
        <w:spacing w:after="0"/>
        <w:numPr>
          <w:ilvl w:val="0"/>
          <w:numId w:val="2"/>
        </w:numPr>
      </w:pPr>
      <w:r>
        <w:rPr/>
        <w:t xml:space="preserve">Landlord-tenant disputes and legal procedures
</w:t>
      </w:r>
    </w:p>
    <w:p>
      <w:pPr>
        <w:spacing w:after="0"/>
        <w:numPr>
          <w:ilvl w:val="0"/>
          <w:numId w:val="2"/>
        </w:numPr>
      </w:pPr>
      <w:r>
        <w:rPr/>
        <w:t xml:space="preserve">Ethical considerations in landlord-tenant relationships
</w:t>
      </w:r>
    </w:p>
    <w:p>
      <w:pPr>
        <w:spacing w:after="0"/>
        <w:numPr>
          <w:ilvl w:val="0"/>
          <w:numId w:val="2"/>
        </w:numPr>
      </w:pPr>
      <w:r>
        <w:rPr/>
        <w:t xml:space="preserve">Procedural errors in eviction cases and their impact on outcomes
</w:t>
      </w:r>
    </w:p>
    <w:p>
      <w:pPr>
        <w:numPr>
          <w:ilvl w:val="0"/>
          <w:numId w:val="2"/>
        </w:numPr>
      </w:pPr>
      <w:r>
        <w:rPr/>
        <w:t xml:space="preserve">Social and economic factors contributing to eviction rates in the US</w:t>
      </w:r>
    </w:p>
    <w:p>
      <w:pPr>
        <w:pStyle w:val="Heading1"/>
      </w:pPr>
      <w:bookmarkStart w:id="6" w:name="_Toc6"/>
      <w:r>
        <w:t>Report location:</w:t>
      </w:r>
      <w:bookmarkEnd w:id="6"/>
    </w:p>
    <w:p>
      <w:hyperlink r:id="rId8" w:history="1">
        <w:r>
          <w:rPr>
            <w:color w:val="2980b9"/>
            <w:u w:val="single"/>
          </w:rPr>
          <w:t xml:space="preserve">https://www.fullpicture.app/item/d5004a2f41482f2a4c02fbf03aa1b85d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C3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w.justia.com/cases/california/court-of-appeal/2d/102/762.html" TargetMode="External"/><Relationship Id="rId8" Type="http://schemas.openxmlformats.org/officeDocument/2006/relationships/hyperlink" Target="https://www.fullpicture.app/item/d5004a2f41482f2a4c02fbf03aa1b8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2024-01-03T01:07:03+01:00</dcterms:created>
  <dcterms:modified xsi:type="dcterms:W3CDTF">2024-01-03T01:07:03+01:00</dcterms:modified>
</cp:coreProperties>
</file>

<file path=docProps/custom.xml><?xml version="1.0" encoding="utf-8"?>
<Properties xmlns="http://schemas.openxmlformats.org/officeDocument/2006/custom-properties" xmlns:vt="http://schemas.openxmlformats.org/officeDocument/2006/docPropsVTypes"/>
</file>