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国家发展改革委 财政部 国家能源局关于做好可再生能源绿色电力证书全覆盖工作 促进可再生能源电力消费的通知 发改能源〔2023〕1044号-国家能源局网站</w:t>
      </w:r>
      <w:br/>
      <w:hyperlink r:id="rId7" w:history="1">
        <w:r>
          <w:rPr>
            <w:color w:val="2980b9"/>
            <w:u w:val="single"/>
          </w:rPr>
          <w:t xml:space="preserve">http://zfxxgk.nea.gov.cn/2023-07/25/c_1310735434.htm</w:t>
        </w:r>
      </w:hyperlink>
    </w:p>
    <w:p>
      <w:pPr>
        <w:pStyle w:val="Heading1"/>
      </w:pPr>
      <w:bookmarkStart w:id="2" w:name="_Toc2"/>
      <w:r>
        <w:t>Article summary:</w:t>
      </w:r>
      <w:bookmarkEnd w:id="2"/>
    </w:p>
    <w:p>
      <w:pPr>
        <w:jc w:val="both"/>
      </w:pPr>
      <w:r>
        <w:rPr/>
        <w:t xml:space="preserve">1. 实施可再生能源绿色电力证书全覆盖工作，促进可再生能源电力消费。通过完善绿色电力证书制度，明确应用范围，规范发放和交易，扩大绿电消费，实现可再生能源电力的全覆盖。</w:t>
      </w:r>
    </w:p>
    <w:p>
      <w:pPr>
        <w:jc w:val="both"/>
      </w:pPr>
      <w:r>
        <w:rPr/>
        <w:t xml:space="preserve">2. 确定绿色证书的适用范围和发放标准。绿色证书是我国可再生能源电力环境属性的唯一证明，国家将对符合条件的可再生能源电力发放绿色证书，并根据生产和消费情况动态调整发放范围。</w:t>
      </w:r>
    </w:p>
    <w:p>
      <w:pPr>
        <w:jc w:val="both"/>
      </w:pPr>
      <w:r>
        <w:rPr/>
        <w:t xml:space="preserve">3. 支持绿色电力交易和应用。通过建立交易平台进行绿色证书交易，并推动与碳市场的连接与协调，同时鼓励各个领域单位主动承担可再生能源电力消费的社会责任，并加强对欺诈行为的严厉打击。</w:t>
      </w:r>
    </w:p>
    <w:p>
      <w:pPr>
        <w:jc w:val="both"/>
      </w:pPr>
      <w:r>
        <w:rPr/>
        <w:t xml:space="preserve"/>
      </w:r>
    </w:p>
    <w:p>
      <w:pPr>
        <w:jc w:val="both"/>
      </w:pPr>
      <w:r>
        <w:rPr/>
        <w:t xml:space="preserve">总结：该通知旨在推动可再生能源电力消费，在全国范围内实现可再生能源绿色电力证书的全覆盖。通过明确适用范围、规范发放和交易以及支持绿色电力消费等措施，促进了我国可再生能源电力的发展和应用。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这篇文章是关于国家发展改革委、财政部和国家能源局关于推动可再生能源绿色电力证书全覆盖工作的通知。然而，文章存在一些潜在的偏见和问题。</w:t>
      </w:r>
    </w:p>
    <w:p>
      <w:pPr>
        <w:jc w:val="both"/>
      </w:pPr>
      <w:r>
        <w:rPr/>
        <w:t xml:space="preserve"/>
      </w:r>
    </w:p>
    <w:p>
      <w:pPr>
        <w:jc w:val="both"/>
      </w:pPr>
      <w:r>
        <w:rPr/>
        <w:t xml:space="preserve">首先，文章没有提及任何可能的风险或挑战。它只强调了推广可再生能源电力消费的好处，但没有提到可能存在的成本或技术难题。这种片面报道可能会给读者留下不完整或误导性的印象。</w:t>
      </w:r>
    </w:p>
    <w:p>
      <w:pPr>
        <w:jc w:val="both"/>
      </w:pPr>
      <w:r>
        <w:rPr/>
        <w:t xml:space="preserve"/>
      </w:r>
    </w:p>
    <w:p>
      <w:pPr>
        <w:jc w:val="both"/>
      </w:pPr>
      <w:r>
        <w:rPr/>
        <w:t xml:space="preserve">其次，文章没有提供足够的证据来支持其主张。例如，在谈到绿色电力证书交易时，文章没有解释为什么只能进行一次交易，并且没有提供相关数据或研究来支持这个决策。缺乏透明度和论据可能使读者对该政策产生怀疑。</w:t>
      </w:r>
    </w:p>
    <w:p>
      <w:pPr>
        <w:jc w:val="both"/>
      </w:pPr>
      <w:r>
        <w:rPr/>
        <w:t xml:space="preserve"/>
      </w:r>
    </w:p>
    <w:p>
      <w:pPr>
        <w:jc w:val="both"/>
      </w:pPr>
      <w:r>
        <w:rPr/>
        <w:t xml:space="preserve">此外，文章似乎过分宣传了可再生能源电力消费的好处，而忽视了其他形式的能源消费。它没有探讨非可再生能源电力消费对经济和社会发展的重要性，并且未提及如何平衡可再生能源与传统能源之间的需求。</w:t>
      </w:r>
    </w:p>
    <w:p>
      <w:pPr>
        <w:jc w:val="both"/>
      </w:pPr>
      <w:r>
        <w:rPr/>
        <w:t xml:space="preserve"/>
      </w:r>
    </w:p>
    <w:p>
      <w:pPr>
        <w:jc w:val="both"/>
      </w:pPr>
      <w:r>
        <w:rPr/>
        <w:t xml:space="preserve">最后，文章缺乏平等地呈现双方观点的平衡性。它只提到了政府部门的观点和决策，而没有提及可能存在的反对意见或其他利益相关者的立场。这种偏袒可能会导致读者对该政策的真实性产生质疑。</w:t>
      </w:r>
    </w:p>
    <w:p>
      <w:pPr>
        <w:jc w:val="both"/>
      </w:pPr>
      <w:r>
        <w:rPr/>
        <w:t xml:space="preserve"/>
      </w:r>
    </w:p>
    <w:p>
      <w:pPr>
        <w:jc w:val="both"/>
      </w:pPr>
      <w:r>
        <w:rPr/>
        <w:t xml:space="preserve">综上所述，这篇文章存在潜在的偏见和问题，包括片面报道、缺乏证据支持、忽视其他能源形式、缺乏平衡性等。读者应该保持批判思维，并寻找更全面和客观的信息来评估该政策的影响和可行性。</w:t>
      </w:r>
    </w:p>
    <w:p>
      <w:pPr>
        <w:pStyle w:val="Heading1"/>
      </w:pPr>
      <w:bookmarkStart w:id="5" w:name="_Toc5"/>
      <w:r>
        <w:t>Topics for further research:</w:t>
      </w:r>
      <w:bookmarkEnd w:id="5"/>
    </w:p>
    <w:p>
      <w:pPr>
        <w:spacing w:after="0"/>
        <w:numPr>
          <w:ilvl w:val="0"/>
          <w:numId w:val="2"/>
        </w:numPr>
      </w:pPr>
      <w:r>
        <w:rPr/>
        <w:t xml:space="preserve">可再生能源电力消费的成本和技术难题
</w:t>
      </w:r>
    </w:p>
    <w:p>
      <w:pPr>
        <w:spacing w:after="0"/>
        <w:numPr>
          <w:ilvl w:val="0"/>
          <w:numId w:val="2"/>
        </w:numPr>
      </w:pPr>
      <w:r>
        <w:rPr/>
        <w:t xml:space="preserve">绿色电力证书交易的限制和决策依据
</w:t>
      </w:r>
    </w:p>
    <w:p>
      <w:pPr>
        <w:spacing w:after="0"/>
        <w:numPr>
          <w:ilvl w:val="0"/>
          <w:numId w:val="2"/>
        </w:numPr>
      </w:pPr>
      <w:r>
        <w:rPr/>
        <w:t xml:space="preserve">非可再生能源电力消费对经济和社会发展的重要性
</w:t>
      </w:r>
    </w:p>
    <w:p>
      <w:pPr>
        <w:spacing w:after="0"/>
        <w:numPr>
          <w:ilvl w:val="0"/>
          <w:numId w:val="2"/>
        </w:numPr>
      </w:pPr>
      <w:r>
        <w:rPr/>
        <w:t xml:space="preserve">平衡可再生能源与传统能源需求的方法和策略
</w:t>
      </w:r>
    </w:p>
    <w:p>
      <w:pPr>
        <w:spacing w:after="0"/>
        <w:numPr>
          <w:ilvl w:val="0"/>
          <w:numId w:val="2"/>
        </w:numPr>
      </w:pPr>
      <w:r>
        <w:rPr/>
        <w:t xml:space="preserve">反对意见和其他利益相关者的立场
</w:t>
      </w:r>
    </w:p>
    <w:p>
      <w:pPr>
        <w:numPr>
          <w:ilvl w:val="0"/>
          <w:numId w:val="2"/>
        </w:numPr>
      </w:pPr>
      <w:r>
        <w:rPr/>
        <w:t xml:space="preserve">更全面和客观的信息评估该政策的影响和可行性</w:t>
      </w:r>
    </w:p>
    <w:p>
      <w:pPr>
        <w:pStyle w:val="Heading1"/>
      </w:pPr>
      <w:bookmarkStart w:id="6" w:name="_Toc6"/>
      <w:r>
        <w:t>Report location:</w:t>
      </w:r>
      <w:bookmarkEnd w:id="6"/>
    </w:p>
    <w:p>
      <w:hyperlink r:id="rId8" w:history="1">
        <w:r>
          <w:rPr>
            <w:color w:val="2980b9"/>
            <w:u w:val="single"/>
          </w:rPr>
          <w:t xml:space="preserve">https://www.fullpicture.app/item/d4374523f23751a148e9f51401f1dd71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C1F0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zfxxgk.nea.gov.cn/2023-07/25/c_1310735434.htm" TargetMode="External"/><Relationship Id="rId8" Type="http://schemas.openxmlformats.org/officeDocument/2006/relationships/hyperlink" Target="https://www.fullpicture.app/item/d4374523f23751a148e9f51401f1dd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2023-09-04T12:19:17+02:00</dcterms:created>
  <dcterms:modified xsi:type="dcterms:W3CDTF">2023-09-04T12:19:17+02:00</dcterms:modified>
</cp:coreProperties>
</file>

<file path=docProps/custom.xml><?xml version="1.0" encoding="utf-8"?>
<Properties xmlns="http://schemas.openxmlformats.org/officeDocument/2006/custom-properties" xmlns:vt="http://schemas.openxmlformats.org/officeDocument/2006/docPropsVTypes"/>
</file>