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ESG practices and the cost of debt: Evidence from EU countries - ScienceDirect</w:t>
      </w:r>
      <w:br/>
      <w:hyperlink r:id="rId7" w:history="1">
        <w:r>
          <w:rPr>
            <w:color w:val="2980b9"/>
            <w:u w:val="single"/>
          </w:rPr>
          <w:t xml:space="preserve">https://www-sciencedirect-com.bham-ezproxy.idm.oclc.org/science/article/pii/S1045235419300772</w:t>
        </w:r>
      </w:hyperlink>
    </w:p>
    <w:p>
      <w:pPr>
        <w:pStyle w:val="Heading1"/>
      </w:pPr>
      <w:bookmarkStart w:id="2" w:name="_Toc2"/>
      <w:r>
        <w:t>Article summary:</w:t>
      </w:r>
      <w:bookmarkEnd w:id="2"/>
    </w:p>
    <w:p>
      <w:pPr>
        <w:jc w:val="both"/>
      </w:pPr>
      <w:r>
        <w:rPr/>
        <w:t xml:space="preserve">1. 本研究通过合法性和制度理论，调查了15个欧盟国家的贷款机构是否因为企业在环境、社会和治理（ESG）绩效和披露方面的表现而降低其债务资本成本。研究发现，贷款机构重视ESG绩效和披露，并将ESG信息纳入信贷决策中。具有较强ESG绩效的公司债务成本较低，而ESG披露对债务成本的影响与ESG绩效相当。</w:t>
      </w:r>
    </w:p>
    <w:p>
      <w:pPr>
        <w:jc w:val="both"/>
      </w:pPr>
      <w:r>
        <w:rPr/>
        <w:t xml:space="preserve"/>
      </w:r>
    </w:p>
    <w:p>
      <w:pPr>
        <w:jc w:val="both"/>
      </w:pPr>
      <w:r>
        <w:rPr/>
        <w:t xml:space="preserve">2. 尽管这些发现表明市场可以通过奖励ESG实践来产生更可取的社会结果，但它未能区分ESG绩效和披露之间的差异。此外，研究结果还反映了公民社会和国家在解决和探索自由市场制度限制方面的重要作用。特别是，在以利益相关者为导向的国家（社区更普遍存在），ESG绩效和披露对债务成本的影响更为显著。</w:t>
      </w:r>
    </w:p>
    <w:p>
      <w:pPr>
        <w:jc w:val="both"/>
      </w:pPr>
      <w:r>
        <w:rPr/>
        <w:t xml:space="preserve"/>
      </w:r>
    </w:p>
    <w:p>
      <w:pPr>
        <w:jc w:val="both"/>
      </w:pPr>
      <w:r>
        <w:rPr/>
        <w:t xml:space="preserve">3. 研究结果经过一系列敏感性测试验证，并包括对债务成本的替代测量、模型规范以及处理内生性问题的不同方法。研究方法存在一定局限性，但仍然具有支持批判视角的价值，并对未来研究提出建议。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欧盟国家企业的环境、社会和治理（ESG）表现与披露对债务成本的影响。文章使用合法性和制度理论，研究了贷款机构是否会因为企业在ESG表现和披露方面的优秀而降低其债务资本成本。研究发现，贷款机构重视ESG表现和披露，并将ESG信息纳入信贷决策中。具有较强ESG表现的公司债务成本较低，而ESG披露对债务成本的影响与ESG表现相当。然而，该研究未能区分ESG表现和披露之间的差异，也未能充分考虑市场制度的局限性。</w:t>
      </w:r>
    </w:p>
    <w:p>
      <w:pPr>
        <w:jc w:val="both"/>
      </w:pPr>
      <w:r>
        <w:rPr/>
        <w:t xml:space="preserve"/>
      </w:r>
    </w:p>
    <w:p>
      <w:pPr>
        <w:jc w:val="both"/>
      </w:pPr>
      <w:r>
        <w:rPr/>
        <w:t xml:space="preserve">文章提到了市场对于ESG实践的奖励可能导致更可取的社会结果，但没有明确区分ESG表现和披露之间的差异。此外，研究结果还反映了公民社会和国家在解决自由市场制度局限性方面的重要作用。具体来说，在以利益相关者为导向的国家中（社区更为普遍），ESG表现和披露对债务成本的影响更为显著。</w:t>
      </w:r>
    </w:p>
    <w:p>
      <w:pPr>
        <w:jc w:val="both"/>
      </w:pPr>
      <w:r>
        <w:rPr/>
        <w:t xml:space="preserve"/>
      </w:r>
    </w:p>
    <w:p>
      <w:pPr>
        <w:jc w:val="both"/>
      </w:pPr>
      <w:r>
        <w:rPr/>
        <w:t xml:space="preserve">然而，这篇文章存在一些潜在的偏见和不足之处。首先，文章没有提供充分的证据来支持其主张。其次，文章没有探讨可能存在的反驳观点或风险因素。此外，文章可能存在宣传内容和偏袒某一方的问题，并未平等地呈现双方观点。</w:t>
      </w:r>
    </w:p>
    <w:p>
      <w:pPr>
        <w:jc w:val="both"/>
      </w:pPr>
      <w:r>
        <w:rPr/>
        <w:t xml:space="preserve"/>
      </w:r>
    </w:p>
    <w:p>
      <w:pPr>
        <w:jc w:val="both"/>
      </w:pPr>
      <w:r>
        <w:rPr/>
        <w:t xml:space="preserve">总体而言，这篇文章对ESG实践与债务成本之间的关系进行了初步探讨，但需要更多的研究来验证其结论，并充分考虑其他因素和观点。</w:t>
      </w:r>
    </w:p>
    <w:p>
      <w:pPr>
        <w:pStyle w:val="Heading1"/>
      </w:pPr>
      <w:bookmarkStart w:id="5" w:name="_Toc5"/>
      <w:r>
        <w:t>Topics for further research:</w:t>
      </w:r>
      <w:bookmarkEnd w:id="5"/>
    </w:p>
    <w:p>
      <w:pPr>
        <w:spacing w:after="0"/>
        <w:numPr>
          <w:ilvl w:val="0"/>
          <w:numId w:val="2"/>
        </w:numPr>
      </w:pPr>
      <w:r>
        <w:rPr/>
        <w:t xml:space="preserve">ESG performance and disclosure
</w:t>
      </w:r>
    </w:p>
    <w:p>
      <w:pPr>
        <w:spacing w:after="0"/>
        <w:numPr>
          <w:ilvl w:val="0"/>
          <w:numId w:val="2"/>
        </w:numPr>
      </w:pPr>
      <w:r>
        <w:rPr/>
        <w:t xml:space="preserve">Impact on debt capital cost
</w:t>
      </w:r>
    </w:p>
    <w:p>
      <w:pPr>
        <w:spacing w:after="0"/>
        <w:numPr>
          <w:ilvl w:val="0"/>
          <w:numId w:val="2"/>
        </w:numPr>
      </w:pPr>
      <w:r>
        <w:rPr/>
        <w:t xml:space="preserve">Legitimacy and institutional theory
</w:t>
      </w:r>
    </w:p>
    <w:p>
      <w:pPr>
        <w:spacing w:after="0"/>
        <w:numPr>
          <w:ilvl w:val="0"/>
          <w:numId w:val="2"/>
        </w:numPr>
      </w:pPr>
      <w:r>
        <w:rPr/>
        <w:t xml:space="preserve">Differentiating between ESG performance and disclosure
</w:t>
      </w:r>
    </w:p>
    <w:p>
      <w:pPr>
        <w:spacing w:after="0"/>
        <w:numPr>
          <w:ilvl w:val="0"/>
          <w:numId w:val="2"/>
        </w:numPr>
      </w:pPr>
      <w:r>
        <w:rPr/>
        <w:t xml:space="preserve">Limitations of market institutions
</w:t>
      </w:r>
    </w:p>
    <w:p>
      <w:pPr>
        <w:numPr>
          <w:ilvl w:val="0"/>
          <w:numId w:val="2"/>
        </w:numPr>
      </w:pPr>
      <w:r>
        <w:rPr/>
        <w:t xml:space="preserve">Stakeholder-oriented countries and their impact on debt cost</w:t>
      </w:r>
    </w:p>
    <w:p>
      <w:pPr>
        <w:pStyle w:val="Heading1"/>
      </w:pPr>
      <w:bookmarkStart w:id="6" w:name="_Toc6"/>
      <w:r>
        <w:t>Report location:</w:t>
      </w:r>
      <w:bookmarkEnd w:id="6"/>
    </w:p>
    <w:p>
      <w:hyperlink r:id="rId8" w:history="1">
        <w:r>
          <w:rPr>
            <w:color w:val="2980b9"/>
            <w:u w:val="single"/>
          </w:rPr>
          <w:t xml:space="preserve">https://www.fullpicture.app/item/d42f7d5ca513b790ae71c0710b0a308f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EE8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bham-ezproxy.idm.oclc.org/science/article/pii/S1045235419300772" TargetMode="External"/><Relationship Id="rId8" Type="http://schemas.openxmlformats.org/officeDocument/2006/relationships/hyperlink" Target="https://www.fullpicture.app/item/d42f7d5ca513b790ae71c0710b0a30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2024-04-22T04:36:59+02:00</dcterms:created>
  <dcterms:modified xsi:type="dcterms:W3CDTF">2024-04-22T04:36:59+02:00</dcterms:modified>
</cp:coreProperties>
</file>

<file path=docProps/custom.xml><?xml version="1.0" encoding="utf-8"?>
<Properties xmlns="http://schemas.openxmlformats.org/officeDocument/2006/custom-properties" xmlns:vt="http://schemas.openxmlformats.org/officeDocument/2006/docPropsVTypes"/>
</file>