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Eleven Metamodern Methods in the Arts | WiM on Med</w:t>
      </w:r>
      <w:br/>
      <w:hyperlink r:id="rId7" w:history="1">
        <w:r>
          <w:rPr>
            <w:color w:val="2980b9"/>
            <w:u w:val="single"/>
          </w:rPr>
          <w:t xml:space="preserve">https://medium.com/what-is-metamodern/after-postmodernism-eleven-metamodern-methods-in-the-arts-767f7b646cae</w:t>
        </w:r>
      </w:hyperlink>
    </w:p>
    <w:p>
      <w:pPr>
        <w:pStyle w:val="Heading1"/>
      </w:pPr>
      <w:bookmarkStart w:id="2" w:name="_Toc2"/>
      <w:r>
        <w:t>Article summary:</w:t>
      </w:r>
      <w:bookmarkEnd w:id="2"/>
    </w:p>
    <w:p>
      <w:pPr>
        <w:jc w:val="both"/>
      </w:pPr>
      <w:r>
        <w:rPr/>
        <w:t xml:space="preserve">1. Metamodernism is a cultural shift that emerged in the early 2000s, characterized by a blending of modern enthusiasm and postmodern irony.</w:t>
      </w:r>
    </w:p>
    <w:p>
      <w:pPr>
        <w:jc w:val="both"/>
      </w:pPr>
      <w:r>
        <w:rPr/>
        <w:t xml:space="preserve">2. The essence of metamodernism is a motivation to protect the solidity of felt experience against the reductionism of modernism and the detachment of postmodernism.</w:t>
      </w:r>
    </w:p>
    <w:p>
      <w:pPr>
        <w:jc w:val="both"/>
      </w:pPr>
      <w:r>
        <w:rPr/>
        <w:t xml:space="preserve">3. The article proposes eleven methods or strategies employed in metamodern cultural artifacts, including hyper-self-reflexivity, oscillation between opposites, and constructive pastiche.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"Eleven Metamodern Methods in the Arts" discusses the concept of metamodernism and its impact on the arts. The author begins by expressing their anticipation for metamodernism, a cultural shift that they had been observing but struggled to define. They then reference an essay called "Notes on Metamodernism" by Timotheus Vermeulen and Robin van den Akker, which introduced the term metamodernism and described it as an oscillation between modern enthusiasm and postmodern irony.</w:t>
      </w:r>
    </w:p>
    <w:p>
      <w:pPr>
        <w:jc w:val="both"/>
      </w:pPr>
      <w:r>
        <w:rPr/>
        <w:t xml:space="preserve"/>
      </w:r>
    </w:p>
    <w:p>
      <w:pPr>
        <w:jc w:val="both"/>
      </w:pPr>
      <w:r>
        <w:rPr/>
        <w:t xml:space="preserve">The author goes on to explain their own interpretation of metamodernism, suggesting that it is motivated by a desire to protect subjective experience from the reductionism of modernism and the detachment of postmodernism. They propose eleven methods or strategies employed in metamodern cultural artifacts, including hyper-self-reflexivity, quirky, oscillation between opposites, performatism, and more.</w:t>
      </w:r>
    </w:p>
    <w:p>
      <w:pPr>
        <w:jc w:val="both"/>
      </w:pPr>
      <w:r>
        <w:rPr/>
        <w:t xml:space="preserve"/>
      </w:r>
    </w:p>
    <w:p>
      <w:pPr>
        <w:jc w:val="both"/>
      </w:pPr>
      <w:r>
        <w:rPr/>
        <w:t xml:space="preserve">While the article provides an interesting exploration of metamodernism and its potential impact on art, there are several aspects that warrant critical analysis. Firstly, the author's definition of metamodernism as a reaction against modernist reductionism and postmodern detachment may be biased towards their own perspective. It is important to consider alternative interpretations of metamodernism that may focus on different aspects or motivations.</w:t>
      </w:r>
    </w:p>
    <w:p>
      <w:pPr>
        <w:jc w:val="both"/>
      </w:pPr>
      <w:r>
        <w:rPr/>
        <w:t xml:space="preserve"/>
      </w:r>
    </w:p>
    <w:p>
      <w:pPr>
        <w:jc w:val="both"/>
      </w:pPr>
      <w:r>
        <w:rPr/>
        <w:t xml:space="preserve">Additionally, the article lacks evidence or examples to support some of its claims. For example, when discussing hyper-self-reflexivity as a method in metamodern art, the author mentions films like "I'm Still Here" and TV shows like "Community" as examples without providing any analysis or evidence to support their inclusion in the category of metamodern works.</w:t>
      </w:r>
    </w:p>
    <w:p>
      <w:pPr>
        <w:jc w:val="both"/>
      </w:pPr>
      <w:r>
        <w:rPr/>
        <w:t xml:space="preserve"/>
      </w:r>
    </w:p>
    <w:p>
      <w:pPr>
        <w:jc w:val="both"/>
      </w:pPr>
      <w:r>
        <w:rPr/>
        <w:t xml:space="preserve">Furthermore, there is a lack of exploration of counterarguments or alternative viewpoints. The article presents its own understanding of metamodernism without acknowledging potential criticisms or limitations of this perspective. This one-sided reporting limits the depth and nuance of the analysis.</w:t>
      </w:r>
    </w:p>
    <w:p>
      <w:pPr>
        <w:jc w:val="both"/>
      </w:pPr>
      <w:r>
        <w:rPr/>
        <w:t xml:space="preserve"/>
      </w:r>
    </w:p>
    <w:p>
      <w:pPr>
        <w:jc w:val="both"/>
      </w:pPr>
      <w:r>
        <w:rPr/>
        <w:t xml:space="preserve">The article also contains promotional content, such as references to the author's own blog and forthcoming book. This self-promotion raises questions about potential biases and conflicts of interest in their analysis of metamodernism.</w:t>
      </w:r>
    </w:p>
    <w:p>
      <w:pPr>
        <w:jc w:val="both"/>
      </w:pPr>
      <w:r>
        <w:rPr/>
        <w:t xml:space="preserve"/>
      </w:r>
    </w:p>
    <w:p>
      <w:pPr>
        <w:jc w:val="both"/>
      </w:pPr>
      <w:r>
        <w:rPr/>
        <w:t xml:space="preserve">Overall, while the article offers an interesting exploration of metamodernism and its methods in the arts, it is important to critically analyze its content for potential biases, unsupported claims, missing evidence, and unexplored counterarguments. A more balanced and evidence-based approach would enhance the credibility and depth of the analysis.</w:t>
      </w:r>
    </w:p>
    <w:p>
      <w:pPr>
        <w:pStyle w:val="Heading1"/>
      </w:pPr>
      <w:bookmarkStart w:id="5" w:name="_Toc5"/>
      <w:r>
        <w:t>Topics for further research:</w:t>
      </w:r>
      <w:bookmarkEnd w:id="5"/>
    </w:p>
    <w:p>
      <w:pPr>
        <w:spacing w:after="0"/>
        <w:numPr>
          <w:ilvl w:val="0"/>
          <w:numId w:val="2"/>
        </w:numPr>
      </w:pPr>
      <w:r>
        <w:rPr/>
        <w:t xml:space="preserve">Criticisms of metamodernism as a cultural shift
</w:t>
      </w:r>
    </w:p>
    <w:p>
      <w:pPr>
        <w:spacing w:after="0"/>
        <w:numPr>
          <w:ilvl w:val="0"/>
          <w:numId w:val="2"/>
        </w:numPr>
      </w:pPr>
      <w:r>
        <w:rPr/>
        <w:t xml:space="preserve">Alternative interpretations of metamodernism
</w:t>
      </w:r>
    </w:p>
    <w:p>
      <w:pPr>
        <w:spacing w:after="0"/>
        <w:numPr>
          <w:ilvl w:val="0"/>
          <w:numId w:val="2"/>
        </w:numPr>
      </w:pPr>
      <w:r>
        <w:rPr/>
        <w:t xml:space="preserve">Examples of hyper-self-reflexivity in film and television
</w:t>
      </w:r>
    </w:p>
    <w:p>
      <w:pPr>
        <w:spacing w:after="0"/>
        <w:numPr>
          <w:ilvl w:val="0"/>
          <w:numId w:val="2"/>
        </w:numPr>
      </w:pPr>
      <w:r>
        <w:rPr/>
        <w:t xml:space="preserve">Limitations of the author's perspective on metamodernism
</w:t>
      </w:r>
    </w:p>
    <w:p>
      <w:pPr>
        <w:spacing w:after="0"/>
        <w:numPr>
          <w:ilvl w:val="0"/>
          <w:numId w:val="2"/>
        </w:numPr>
      </w:pPr>
      <w:r>
        <w:rPr/>
        <w:t xml:space="preserve">Counterarguments against the methods proposed in metamodern art
</w:t>
      </w:r>
    </w:p>
    <w:p>
      <w:pPr>
        <w:numPr>
          <w:ilvl w:val="0"/>
          <w:numId w:val="2"/>
        </w:numPr>
      </w:pPr>
      <w:r>
        <w:rPr/>
        <w:t xml:space="preserve">Analysis of conflicts of interest in discussions of metamodernism</w:t>
      </w:r>
    </w:p>
    <w:p>
      <w:pPr>
        <w:pStyle w:val="Heading1"/>
      </w:pPr>
      <w:bookmarkStart w:id="6" w:name="_Toc6"/>
      <w:r>
        <w:t>Report location:</w:t>
      </w:r>
      <w:bookmarkEnd w:id="6"/>
    </w:p>
    <w:p>
      <w:hyperlink r:id="rId8" w:history="1">
        <w:r>
          <w:rPr>
            <w:color w:val="2980b9"/>
            <w:u w:val="single"/>
          </w:rPr>
          <w:t xml:space="preserve">https://www.fullpicture.app/item/d2a1db1840daac0f402cfdca45959c66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EE7F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dium.com/what-is-metamodern/after-postmodernism-eleven-metamodern-methods-in-the-arts-767f7b646cae" TargetMode="External"/><Relationship Id="rId8" Type="http://schemas.openxmlformats.org/officeDocument/2006/relationships/hyperlink" Target="https://www.fullpicture.app/item/d2a1db1840daac0f402cfdca45959c6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2023-10-09T14:01:16+02:00</dcterms:created>
  <dcterms:modified xsi:type="dcterms:W3CDTF">2023-10-09T14:01:16+02:00</dcterms:modified>
</cp:coreProperties>
</file>

<file path=docProps/custom.xml><?xml version="1.0" encoding="utf-8"?>
<Properties xmlns="http://schemas.openxmlformats.org/officeDocument/2006/custom-properties" xmlns:vt="http://schemas.openxmlformats.org/officeDocument/2006/docPropsVTypes"/>
</file>