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Leveraging a cuproptosis-based signature to predict the prognosis and drug sensitivity of cutaneous melanoma - PubMed</w:t>
      </w:r>
      <w:br/>
      <w:hyperlink r:id="rId7" w:history="1">
        <w:r>
          <w:rPr>
            <w:color w:val="2980b9"/>
            <w:u w:val="single"/>
          </w:rPr>
          <w:t xml:space="preserve">https://pubmed.ncbi.nlm.nih.gov/36717900/</w:t>
        </w:r>
      </w:hyperlink>
    </w:p>
    <w:p>
      <w:pPr>
        <w:pStyle w:val="Heading1"/>
      </w:pPr>
      <w:bookmarkStart w:id="2" w:name="_Toc2"/>
      <w:r>
        <w:t>Article summary:</w:t>
      </w:r>
      <w:bookmarkEnd w:id="2"/>
    </w:p>
    <w:p>
      <w:pPr>
        <w:jc w:val="both"/>
      </w:pPr>
      <w:r>
        <w:rPr/>
        <w:t xml:space="preserve">1. Cuproptosis-related genes (CRGs) can be used to cluster patients with cutaneous melanoma (CM) and predict prognosis, immunotherapeutic effect, tumor microenvironment score, expression of immune checkpoints, and abundance of CD8+ T cell infiltration.</w:t>
      </w:r>
    </w:p>
    <w:p>
      <w:pPr>
        <w:jc w:val="both"/>
      </w:pPr>
      <w:r>
        <w:rPr/>
        <w:t xml:space="preserve">2. A cuproptosis-related scoring system (CRSS) was constructed using a combination of LASSO and COX regression analysis to identify 10 significant molecules from differentially expressed genes between two CRG-based patient groups.</w:t>
      </w:r>
    </w:p>
    <w:p>
      <w:pPr>
        <w:jc w:val="both"/>
      </w:pPr>
      <w:r>
        <w:rPr/>
        <w:t xml:space="preserve">3. The CRSS accurately stratified risk and predicted the effect of immunotherapy in CM patients across multiple datasets, and when combined with the American Joint Committee on Cancer staging system, greatly improved the ability and accuracy of prognosis prediction.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"Leveraging a cuproptosis-based signature to predict the prognosis and drug sensitivity of cutaneous melanoma" presents a study that aims to explore the relationship between cuproptosis-related genes (CRGs) and the effect of immunotherapy on cutaneous melanoma (CM). The authors used data from the Cancer Genome Atlas (TCGA) database to cluster CM patients based on CRGs and identified 10 molecules significant to prognosis from differentially expressed genes between the two groups. They constructed a cuproptosis-related scoring system (CRSS) that accurately stratified risk in CM patients and predicted prognosis and the effect of immunotherapy.</w:t>
      </w:r>
    </w:p>
    <w:p>
      <w:pPr>
        <w:jc w:val="both"/>
      </w:pPr>
      <w:r>
        <w:rPr/>
        <w:t xml:space="preserve"/>
      </w:r>
    </w:p>
    <w:p>
      <w:pPr>
        <w:jc w:val="both"/>
      </w:pPr>
      <w:r>
        <w:rPr/>
        <w:t xml:space="preserve">Overall, the article presents a well-conducted study with interesting findings. However, there are some potential biases and limitations that need to be considered. Firstly, the study only used data from TCGA database, which may not represent all CM patients' populations. Secondly, although the authors claim that their CRSS is more accurate than the American Joint Committee on Cancer (AJCC) staging system in predicting prognosis and guiding immunotherapy, they did not compare their results with other existing prognostic models or scoring systems. Therefore, it is unclear whether their CRSS is superior to other models or just an alternative option.</w:t>
      </w:r>
    </w:p>
    <w:p>
      <w:pPr>
        <w:jc w:val="both"/>
      </w:pPr>
      <w:r>
        <w:rPr/>
        <w:t xml:space="preserve"/>
      </w:r>
    </w:p>
    <w:p>
      <w:pPr>
        <w:jc w:val="both"/>
      </w:pPr>
      <w:r>
        <w:rPr/>
        <w:t xml:space="preserve">Moreover, while the authors found significant differences in immune-related factors between group A (high expression of CRGs) and group B (low expression of CRGs), they did not investigate why these differences exist or how they relate to cuproptosis. Additionally, although they claim that their nomogram model combining AJCC stage and CRSS greatly improved prognosis prediction accuracy, they did not provide any evidence supporting this claim.</w:t>
      </w:r>
    </w:p>
    <w:p>
      <w:pPr>
        <w:jc w:val="both"/>
      </w:pPr>
      <w:r>
        <w:rPr/>
        <w:t xml:space="preserve"/>
      </w:r>
    </w:p>
    <w:p>
      <w:pPr>
        <w:jc w:val="both"/>
      </w:pPr>
      <w:r>
        <w:rPr/>
        <w:t xml:space="preserve">Furthermore, while the article mentions potential risks associated with CM treatment such as chemotherapy toxicity, it does not discuss any possible risks associated with using their CRSS or nomogram model in clinical practice. Finally, there is some promotional content in the article as it highlights how their findings could guide clinical management better without discussing any potential limitations or challenges in implementing their approach.</w:t>
      </w:r>
    </w:p>
    <w:p>
      <w:pPr>
        <w:jc w:val="both"/>
      </w:pPr>
      <w:r>
        <w:rPr/>
        <w:t xml:space="preserve"/>
      </w:r>
    </w:p>
    <w:p>
      <w:pPr>
        <w:jc w:val="both"/>
      </w:pPr>
      <w:r>
        <w:rPr/>
        <w:t xml:space="preserve">In conclusion, while this article presents an interesting study with promising findings regarding predicting prognosis and guiding immunotherapy for CM patients using a cuproptosis-based signature, there are some potential biases and limitations that need to be considered before applying these findings in clinical practice. Further research is needed to validate these results and compare them with other existing prognostic models or scoring systems.</w:t>
      </w:r>
    </w:p>
    <w:p>
      <w:pPr>
        <w:pStyle w:val="Heading1"/>
      </w:pPr>
      <w:bookmarkStart w:id="5" w:name="_Toc5"/>
      <w:r>
        <w:t>Topics for further research:</w:t>
      </w:r>
      <w:bookmarkEnd w:id="5"/>
    </w:p>
    <w:p>
      <w:pPr>
        <w:spacing w:after="0"/>
        <w:numPr>
          <w:ilvl w:val="0"/>
          <w:numId w:val="2"/>
        </w:numPr>
      </w:pPr>
      <w:r>
        <w:rPr/>
        <w:t xml:space="preserve">Comparison of prognostic models for cutaneous melanoma
</w:t>
      </w:r>
    </w:p>
    <w:p>
      <w:pPr>
        <w:spacing w:after="0"/>
        <w:numPr>
          <w:ilvl w:val="0"/>
          <w:numId w:val="2"/>
        </w:numPr>
      </w:pPr>
      <w:r>
        <w:rPr/>
        <w:t xml:space="preserve">Mechanisms of cuproptosis in cancer
</w:t>
      </w:r>
    </w:p>
    <w:p>
      <w:pPr>
        <w:spacing w:after="0"/>
        <w:numPr>
          <w:ilvl w:val="0"/>
          <w:numId w:val="2"/>
        </w:numPr>
      </w:pPr>
      <w:r>
        <w:rPr/>
        <w:t xml:space="preserve">Immune-related factors in cutaneous melanoma
</w:t>
      </w:r>
    </w:p>
    <w:p>
      <w:pPr>
        <w:spacing w:after="0"/>
        <w:numPr>
          <w:ilvl w:val="0"/>
          <w:numId w:val="2"/>
        </w:numPr>
      </w:pPr>
      <w:r>
        <w:rPr/>
        <w:t xml:space="preserve">Risks associated with using prognostic scoring systems in clinical practice
</w:t>
      </w:r>
    </w:p>
    <w:p>
      <w:pPr>
        <w:spacing w:after="0"/>
        <w:numPr>
          <w:ilvl w:val="0"/>
          <w:numId w:val="2"/>
        </w:numPr>
      </w:pPr>
      <w:r>
        <w:rPr/>
        <w:t xml:space="preserve">Validation of cuproptosis-based signature in predicting drug sensitivity
</w:t>
      </w:r>
    </w:p>
    <w:p>
      <w:pPr>
        <w:numPr>
          <w:ilvl w:val="0"/>
          <w:numId w:val="2"/>
        </w:numPr>
      </w:pPr>
      <w:r>
        <w:rPr/>
        <w:t xml:space="preserve">Challenges in implementing personalized medicine for cutaneous melanoma</w:t>
      </w:r>
    </w:p>
    <w:p>
      <w:pPr>
        <w:pStyle w:val="Heading1"/>
      </w:pPr>
      <w:bookmarkStart w:id="6" w:name="_Toc6"/>
      <w:r>
        <w:t>Report location:</w:t>
      </w:r>
      <w:bookmarkEnd w:id="6"/>
    </w:p>
    <w:p>
      <w:hyperlink r:id="rId8" w:history="1">
        <w:r>
          <w:rPr>
            <w:color w:val="2980b9"/>
            <w:u w:val="single"/>
          </w:rPr>
          <w:t xml:space="preserve">https://www.fullpicture.app/item/d2a1cd0421801dcc22c8fd29e6be324b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9079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17900/" TargetMode="External"/><Relationship Id="rId8" Type="http://schemas.openxmlformats.org/officeDocument/2006/relationships/hyperlink" Target="https://www.fullpicture.app/item/d2a1cd0421801dcc22c8fd29e6be32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2024-01-02T03:18:12+01:00</dcterms:created>
  <dcterms:modified xsi:type="dcterms:W3CDTF">2024-01-02T03:18:12+01:00</dcterms:modified>
</cp:coreProperties>
</file>

<file path=docProps/custom.xml><?xml version="1.0" encoding="utf-8"?>
<Properties xmlns="http://schemas.openxmlformats.org/officeDocument/2006/custom-properties" xmlns:vt="http://schemas.openxmlformats.org/officeDocument/2006/docPropsVTypes"/>
</file>