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Ketogenesis Attenuates KLF5-Dependent Production of CXCL12 to Overcome the Immunosuppressive Tumor Microenvironment in Colorectal Cancer | Cancer Research | American Association for Cancer Research</w:t>
      </w:r>
      <w:br/>
      <w:hyperlink r:id="rId7" w:history="1">
        <w:r>
          <w:rPr>
            <w:color w:val="2980b9"/>
            <w:u w:val="single"/>
          </w:rPr>
          <w:t xml:space="preserve">https://aacrjournals.org/cancerres/article-abstract/82/8/1575/694351/Ketogenesis-Attenuates-KLF5-Dependent-Production?redirectedFrom=fulltext</w:t>
        </w:r>
      </w:hyperlink>
    </w:p>
    <w:p>
      <w:pPr>
        <w:pStyle w:val="Heading1"/>
      </w:pPr>
      <w:bookmarkStart w:id="2" w:name="_Toc2"/>
      <w:r>
        <w:t>Article summary:</w:t>
      </w:r>
      <w:bookmarkEnd w:id="2"/>
    </w:p>
    <w:p>
      <w:pPr>
        <w:jc w:val="both"/>
      </w:pPr>
      <w:r>
        <w:rPr/>
        <w:t xml:space="preserve">1. 下调酮生成是结直肠癌的一个特征，而增加酮生成可以降低CXCL12的产生，从而改善免疫抑制性肿瘤微环境。</w:t>
      </w:r>
    </w:p>
    <w:p>
      <w:pPr>
        <w:jc w:val="both"/>
      </w:pPr>
      <w:r>
        <w:rPr/>
        <w:t xml:space="preserve">2. 增加酮生成可以通过抑制KLF5依赖性CXCL12表达来减少免疫抑制细胞的积累，并增加天然杀伤细胞和细胞毒性T细胞的浸润。</w:t>
      </w:r>
    </w:p>
    <w:p>
      <w:pPr>
        <w:jc w:val="both"/>
      </w:pPr>
      <w:r>
        <w:rPr/>
        <w:t xml:space="preserve">3. 酮生成的增加还可以抑制结直肠癌的迁移、侵袭和转移。因此，饮食干预可能成为一种治疗策略，以提高免疫治疗的效果并延长患者生存期。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作为一篇科学研究论文，该文章提供了有关肠癌微环境和酮生成的新见解。然而，它也存在一些潜在的偏见和局限性。</w:t>
      </w:r>
    </w:p>
    <w:p>
      <w:pPr>
        <w:jc w:val="both"/>
      </w:pPr>
      <w:r>
        <w:rPr/>
        <w:t xml:space="preserve"/>
      </w:r>
    </w:p>
    <w:p>
      <w:pPr>
        <w:jc w:val="both"/>
      </w:pPr>
      <w:r>
        <w:rPr/>
        <w:t xml:space="preserve">首先，该文章没有探讨饮食对人类肠癌的影响。虽然作者使用了小鼠模型来研究饮食对肿瘤生长和免疫治疗的影响，但这并不能直接推广到人类身上。此外，该文章没有考虑到不同类型的肠癌可能对饮食干预产生不同的反应。</w:t>
      </w:r>
    </w:p>
    <w:p>
      <w:pPr>
        <w:jc w:val="both"/>
      </w:pPr>
      <w:r>
        <w:rPr/>
        <w:t xml:space="preserve"/>
      </w:r>
    </w:p>
    <w:p>
      <w:pPr>
        <w:jc w:val="both"/>
      </w:pPr>
      <w:r>
        <w:rPr/>
        <w:t xml:space="preserve">其次，该文章没有提及任何潜在的副作用或风险。尽管饮食干预可以改善免疫系统功能和减少肿瘤生长，但过度限制碳水化合物摄入可能会导致营养不良、代谢紊乱和其他健康问题。</w:t>
      </w:r>
    </w:p>
    <w:p>
      <w:pPr>
        <w:jc w:val="both"/>
      </w:pPr>
      <w:r>
        <w:rPr/>
        <w:t xml:space="preserve"/>
      </w:r>
    </w:p>
    <w:p>
      <w:pPr>
        <w:jc w:val="both"/>
      </w:pPr>
      <w:r>
        <w:rPr/>
        <w:t xml:space="preserve">此外，该文章似乎忽略了其他因素对肿瘤微环境和免疫治疗效果的影响。例如，肿瘤细胞本身可以通过分泌多种因子来调节TME，并且TME中存在多种细胞类型相互作用。因此，在评估饮食干预对肿瘤治疗效果的影响时需要考虑这些复杂性。</w:t>
      </w:r>
    </w:p>
    <w:p>
      <w:pPr>
        <w:jc w:val="both"/>
      </w:pPr>
      <w:r>
        <w:rPr/>
        <w:t xml:space="preserve"/>
      </w:r>
    </w:p>
    <w:p>
      <w:pPr>
        <w:jc w:val="both"/>
      </w:pPr>
      <w:r>
        <w:rPr/>
        <w:t xml:space="preserve">最后，该文章似乎倾向于支持饮食干预作为一种单一策略来改善肿瘤微环境和增强免疫治疗效果。然而，在实践中，多种策略（如药物、放射线、手术等）通常结合使用以达到最佳治疗效果。</w:t>
      </w:r>
    </w:p>
    <w:p>
      <w:pPr>
        <w:jc w:val="both"/>
      </w:pPr>
      <w:r>
        <w:rPr/>
        <w:t xml:space="preserve"/>
      </w:r>
    </w:p>
    <w:p>
      <w:pPr>
        <w:jc w:val="both"/>
      </w:pPr>
      <w:r>
        <w:rPr/>
        <w:t xml:space="preserve">总之，尽管该文章提供了有趣的发现和新见解，但读者需要注意其中存在的潜在偏见、局限性和未探索的问题，并将其与其他证据结合起来进行全面评估。</w:t>
      </w:r>
    </w:p>
    <w:p>
      <w:pPr>
        <w:pStyle w:val="Heading1"/>
      </w:pPr>
      <w:bookmarkStart w:id="5" w:name="_Toc5"/>
      <w:r>
        <w:t>Topics for further research:</w:t>
      </w:r>
      <w:bookmarkEnd w:id="5"/>
    </w:p>
    <w:p>
      <w:pPr>
        <w:spacing w:after="0"/>
        <w:numPr>
          <w:ilvl w:val="0"/>
          <w:numId w:val="2"/>
        </w:numPr>
      </w:pPr>
      <w:r>
        <w:rPr/>
        <w:t xml:space="preserve">饮食与人类肠癌的关系
</w:t>
      </w:r>
    </w:p>
    <w:p>
      <w:pPr>
        <w:spacing w:after="0"/>
        <w:numPr>
          <w:ilvl w:val="0"/>
          <w:numId w:val="2"/>
        </w:numPr>
      </w:pPr>
      <w:r>
        <w:rPr/>
        <w:t xml:space="preserve">饮食干预可能存在的副作用和风险
</w:t>
      </w:r>
    </w:p>
    <w:p>
      <w:pPr>
        <w:spacing w:after="0"/>
        <w:numPr>
          <w:ilvl w:val="0"/>
          <w:numId w:val="2"/>
        </w:numPr>
      </w:pPr>
      <w:r>
        <w:rPr/>
        <w:t xml:space="preserve">其他因素对肿瘤微环境和免疫治疗效果的影响
</w:t>
      </w:r>
    </w:p>
    <w:p>
      <w:pPr>
        <w:spacing w:after="0"/>
        <w:numPr>
          <w:ilvl w:val="0"/>
          <w:numId w:val="2"/>
        </w:numPr>
      </w:pPr>
      <w:r>
        <w:rPr/>
        <w:t xml:space="preserve">肿瘤细胞分泌因子调节TME的作用
</w:t>
      </w:r>
    </w:p>
    <w:p>
      <w:pPr>
        <w:spacing w:after="0"/>
        <w:numPr>
          <w:ilvl w:val="0"/>
          <w:numId w:val="2"/>
        </w:numPr>
      </w:pPr>
      <w:r>
        <w:rPr/>
        <w:t xml:space="preserve">TME中存在多种细胞类型相互作用的复杂性
</w:t>
      </w:r>
    </w:p>
    <w:p>
      <w:pPr>
        <w:numPr>
          <w:ilvl w:val="0"/>
          <w:numId w:val="2"/>
        </w:numPr>
      </w:pPr>
      <w:r>
        <w:rPr/>
        <w:t xml:space="preserve">多种策略结合使用以达到最佳治疗效果</w:t>
      </w:r>
    </w:p>
    <w:p>
      <w:pPr>
        <w:pStyle w:val="Heading1"/>
      </w:pPr>
      <w:bookmarkStart w:id="6" w:name="_Toc6"/>
      <w:r>
        <w:t>Report location:</w:t>
      </w:r>
      <w:bookmarkEnd w:id="6"/>
    </w:p>
    <w:p>
      <w:hyperlink r:id="rId8" w:history="1">
        <w:r>
          <w:rPr>
            <w:color w:val="2980b9"/>
            <w:u w:val="single"/>
          </w:rPr>
          <w:t xml:space="preserve">https://www.fullpicture.app/item/d14d396b9edc6f6b43b930b936d00213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B25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crjournals.org/cancerres/article-abstract/82/8/1575/694351/Ketogenesis-Attenuates-KLF5-Dependent-Production?redirectedFrom=fulltext" TargetMode="External"/><Relationship Id="rId8" Type="http://schemas.openxmlformats.org/officeDocument/2006/relationships/hyperlink" Target="https://www.fullpicture.app/item/d14d396b9edc6f6b43b930b936d002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2023-03-22T02:35:18+01:00</dcterms:created>
  <dcterms:modified xsi:type="dcterms:W3CDTF">2023-03-22T02:35:18+01:00</dcterms:modified>
</cp:coreProperties>
</file>

<file path=docProps/custom.xml><?xml version="1.0" encoding="utf-8"?>
<Properties xmlns="http://schemas.openxmlformats.org/officeDocument/2006/custom-properties" xmlns:vt="http://schemas.openxmlformats.org/officeDocument/2006/docPropsVTypes"/>
</file>