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“IAG-Switch”—A Key Controlling Element in Decapod Crustacean Sex Differentiation - PMC</w:t>
      </w:r>
      <w:br/>
      <w:hyperlink r:id="rId7" w:history="1">
        <w:r>
          <w:rPr>
            <w:color w:val="2980b9"/>
            <w:u w:val="single"/>
          </w:rPr>
          <w:t xml:space="preserve">https://www.ncbi.nlm.nih.gov/pmc/articles/PMC7511715/</w:t>
        </w:r>
      </w:hyperlink>
    </w:p>
    <w:p>
      <w:pPr>
        <w:pStyle w:val="Heading1"/>
      </w:pPr>
      <w:bookmarkStart w:id="2" w:name="_Toc2"/>
      <w:r>
        <w:t>Article summary:</w:t>
      </w:r>
      <w:bookmarkEnd w:id="2"/>
    </w:p>
    <w:p>
      <w:pPr>
        <w:jc w:val="both"/>
      </w:pPr>
      <w:r>
        <w:rPr/>
        <w:t xml:space="preserve">1. The androgenic gland (AG) and the insulin-like androgenic gland (IAG) hormone play a crucial role in crustacean sex differentiation.</w:t>
      </w:r>
    </w:p>
    <w:p>
      <w:pPr>
        <w:jc w:val="both"/>
      </w:pPr>
      <w:r>
        <w:rPr/>
        <w:t xml:space="preserve">2. The IAG hormone acts as a master regulator of crustacean sexual development, functioning as a "switch" that induces masculinization or feminization.</w:t>
      </w:r>
    </w:p>
    <w:p>
      <w:pPr>
        <w:jc w:val="both"/>
      </w:pPr>
      <w:r>
        <w:rPr/>
        <w:t xml:space="preserve">3. Manipulations of the IAG-switch have been used to reverse the sex of crustaceans, leading to the development of monosex population biotechnologies for aquaculture and pest control.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甲壳类动物性别分化过程中的关键调控因子——胰岛素样雄性腺（IAG）激素。文章指出，IAG激素在甲壳类动物中起着重要的作用，其表达诱导雄性化，而缺失或缺乏IAG表达则导致雌性化。作者将IAG激素比喻为性别的“开关”，并介绍了该开关在内分泌轴中的作用机制。</w:t>
      </w:r>
    </w:p>
    <w:p>
      <w:pPr>
        <w:jc w:val="both"/>
      </w:pPr>
      <w:r>
        <w:rPr/>
        <w:t xml:space="preserve"/>
      </w:r>
    </w:p>
    <w:p>
      <w:pPr>
        <w:jc w:val="both"/>
      </w:pPr>
      <w:r>
        <w:rPr/>
        <w:t xml:space="preserve">文章提到，近年来已经在许多十足类甲壳类动物中发现和测序了IAG激素，并且通过切除或敲除雄性的IAG基因等手段进行了性别操作实验。这些实验揭示了不同物种中甲壳类动物性别可塑性的显著特点，并且为开发基于IAG开关的单性群体生物技术提供了可能。</w:t>
      </w:r>
    </w:p>
    <w:p>
      <w:pPr>
        <w:jc w:val="both"/>
      </w:pPr>
      <w:r>
        <w:rPr/>
        <w:t xml:space="preserve"/>
      </w:r>
    </w:p>
    <w:p>
      <w:pPr>
        <w:jc w:val="both"/>
      </w:pPr>
      <w:r>
        <w:rPr/>
        <w:t xml:space="preserve">然而，这篇文章存在一些潜在偏见和片面报道的问题。首先，文章没有提及对于这些实验操作可能带来的风险和副作用进行充分讨论。虽然这些技术有助于理解甲壳类动物的性别机制，并且在水产养殖和害虫控制方面具有潜在应用，但可能会对生态系统和物种多样性产生不可预测的影响。</w:t>
      </w:r>
    </w:p>
    <w:p>
      <w:pPr>
        <w:jc w:val="both"/>
      </w:pPr>
      <w:r>
        <w:rPr/>
        <w:t xml:space="preserve"/>
      </w:r>
    </w:p>
    <w:p>
      <w:pPr>
        <w:jc w:val="both"/>
      </w:pPr>
      <w:r>
        <w:rPr/>
        <w:t xml:space="preserve">其次，文章没有提供足够的证据来支持作者关于IAG激素作为性别“开关”的主张。尽管IAG激素在甲壳类动物中起着重要作用，但是否可以将其简单地比喻为一个控制性别分化的开关还需要更多的研究和证据支持。</w:t>
      </w:r>
    </w:p>
    <w:p>
      <w:pPr>
        <w:jc w:val="both"/>
      </w:pPr>
      <w:r>
        <w:rPr/>
        <w:t xml:space="preserve"/>
      </w:r>
    </w:p>
    <w:p>
      <w:pPr>
        <w:jc w:val="both"/>
      </w:pPr>
      <w:r>
        <w:rPr/>
        <w:t xml:space="preserve">此外，文章没有探讨与脊椎动物中已广泛研究的性别分化机制相比，甲壳类动物中这种基于胰岛素的早期性别分化调控机制的局限性和差异。这种比较可能有助于读者更好地理解甲壳类动物性别分化的特点和进化历程。</w:t>
      </w:r>
    </w:p>
    <w:p>
      <w:pPr>
        <w:jc w:val="both"/>
      </w:pPr>
      <w:r>
        <w:rPr/>
        <w:t xml:space="preserve"/>
      </w:r>
    </w:p>
    <w:p>
      <w:pPr>
        <w:jc w:val="both"/>
      </w:pPr>
      <w:r>
        <w:rPr/>
        <w:t xml:space="preserve">总之，尽管这篇文章提供了关于甲壳类动物性别分化调控因子IAG激素的一些信息，但它存在一些偏见、片面报道和缺失考虑点的问题。读者需要谨慎对待其中提出的主张，并寻找更多相关研究来全面了解该领域。</w:t>
      </w:r>
    </w:p>
    <w:p>
      <w:pPr>
        <w:pStyle w:val="Heading1"/>
      </w:pPr>
      <w:bookmarkStart w:id="5" w:name="_Toc5"/>
      <w:r>
        <w:t>Topics for further research:</w:t>
      </w:r>
      <w:bookmarkEnd w:id="5"/>
    </w:p>
    <w:p>
      <w:pPr>
        <w:spacing w:after="0"/>
        <w:numPr>
          <w:ilvl w:val="0"/>
          <w:numId w:val="2"/>
        </w:numPr>
      </w:pPr>
      <w:r>
        <w:rPr/>
        <w:t xml:space="preserve">IAG hormone and gender differentiation in crustaceans
</w:t>
      </w:r>
    </w:p>
    <w:p>
      <w:pPr>
        <w:spacing w:after="0"/>
        <w:numPr>
          <w:ilvl w:val="0"/>
          <w:numId w:val="2"/>
        </w:numPr>
      </w:pPr>
      <w:r>
        <w:rPr/>
        <w:t xml:space="preserve">Risks and side effects of manipulating IAG gene in crustaceans
</w:t>
      </w:r>
    </w:p>
    <w:p>
      <w:pPr>
        <w:spacing w:after="0"/>
        <w:numPr>
          <w:ilvl w:val="0"/>
          <w:numId w:val="2"/>
        </w:numPr>
      </w:pPr>
      <w:r>
        <w:rPr/>
        <w:t xml:space="preserve">Lack of evidence supporting IAG hormone as a gender switch
</w:t>
      </w:r>
    </w:p>
    <w:p>
      <w:pPr>
        <w:spacing w:after="0"/>
        <w:numPr>
          <w:ilvl w:val="0"/>
          <w:numId w:val="2"/>
        </w:numPr>
      </w:pPr>
      <w:r>
        <w:rPr/>
        <w:t xml:space="preserve">Limitations and differences of insulin-based gender differentiation in crustaceans compared to vertebrates
</w:t>
      </w:r>
    </w:p>
    <w:p>
      <w:pPr>
        <w:spacing w:after="0"/>
        <w:numPr>
          <w:ilvl w:val="0"/>
          <w:numId w:val="2"/>
        </w:numPr>
      </w:pPr>
      <w:r>
        <w:rPr/>
        <w:t xml:space="preserve">Potential ecological and biodiversity impacts of IAG-based biotechnologies
</w:t>
      </w:r>
    </w:p>
    <w:p>
      <w:pPr>
        <w:numPr>
          <w:ilvl w:val="0"/>
          <w:numId w:val="2"/>
        </w:numPr>
      </w:pPr>
      <w:r>
        <w:rPr/>
        <w:t xml:space="preserve">Need for further research and evidence in understanding crustacean gender differentiation mechanisms.</w:t>
      </w:r>
    </w:p>
    <w:p>
      <w:pPr>
        <w:pStyle w:val="Heading1"/>
      </w:pPr>
      <w:bookmarkStart w:id="6" w:name="_Toc6"/>
      <w:r>
        <w:t>Report location:</w:t>
      </w:r>
      <w:bookmarkEnd w:id="6"/>
    </w:p>
    <w:p>
      <w:hyperlink r:id="rId8" w:history="1">
        <w:r>
          <w:rPr>
            <w:color w:val="2980b9"/>
            <w:u w:val="single"/>
          </w:rPr>
          <w:t xml:space="preserve">https://www.fullpicture.app/item/d00875d2f30908dee0f7dd14f5fc13f5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8061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511715/" TargetMode="External"/><Relationship Id="rId8" Type="http://schemas.openxmlformats.org/officeDocument/2006/relationships/hyperlink" Target="https://www.fullpicture.app/item/d00875d2f30908dee0f7dd14f5fc13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2024-04-16T07:12:17+02:00</dcterms:created>
  <dcterms:modified xsi:type="dcterms:W3CDTF">2024-04-16T07:12:17+02:00</dcterms:modified>
</cp:coreProperties>
</file>

<file path=docProps/custom.xml><?xml version="1.0" encoding="utf-8"?>
<Properties xmlns="http://schemas.openxmlformats.org/officeDocument/2006/custom-properties" xmlns:vt="http://schemas.openxmlformats.org/officeDocument/2006/docPropsVTypes"/>
</file>