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Start-up Visa Canadian Case Law Summary | YLG - Yazdani Law Group</w:t>
      </w:r>
      <w:br/>
      <w:hyperlink r:id="rId7" w:history="1">
        <w:r>
          <w:rPr>
            <w:color w:val="2980b9"/>
            <w:u w:val="single"/>
          </w:rPr>
          <w:t xml:space="preserve">https://ylgpc.ca/portfolio/start-up-visa-canadian-case-law-summary/</w:t>
        </w:r>
      </w:hyperlink>
    </w:p>
    <w:p>
      <w:pPr>
        <w:pStyle w:val="Heading1"/>
      </w:pPr>
      <w:bookmarkStart w:id="2" w:name="_Toc2"/>
      <w:r>
        <w:t>Article summary:</w:t>
      </w:r>
      <w:bookmarkEnd w:id="2"/>
    </w:p>
    <w:p>
      <w:pPr>
        <w:jc w:val="both"/>
      </w:pPr>
      <w:r>
        <w:rPr/>
        <w:t xml:space="preserve">1. The article provides summaries of several Canadian court cases involving Start-up Visa applications.</w:t>
      </w:r>
    </w:p>
    <w:p>
      <w:pPr>
        <w:jc w:val="both"/>
      </w:pPr>
      <w:r>
        <w:rPr/>
        <w:t xml:space="preserve">2. The cases cover issues such as procedural fairness, sufficiency of evidence, and reliance on peer review reports.</w:t>
      </w:r>
    </w:p>
    <w:p>
      <w:pPr>
        <w:jc w:val="both"/>
      </w:pPr>
      <w:r>
        <w:rPr/>
        <w:t xml:space="preserve">3. In some cases, the court found that the Officer's decision was reasonable, while in others there were breaches of procedural fairness and the decision was quashed or remitted for reconsideration.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summary of five Canadian case laws related to the Start-up Visa program. The cases involve applicants who were denied permanent resident status under the Start-up Business Class due to various reasons such as insufficient evidence, lack of due diligence, and concerns about the applicant's motives for participating in the program. </w:t>
      </w:r>
    </w:p>
    <w:p>
      <w:pPr>
        <w:jc w:val="both"/>
      </w:pPr>
      <w:r>
        <w:rPr/>
        <w:t xml:space="preserve"/>
      </w:r>
    </w:p>
    <w:p>
      <w:pPr>
        <w:jc w:val="both"/>
      </w:pPr>
      <w:r>
        <w:rPr/>
        <w:t xml:space="preserve">The article presents a balanced view of each case, outlining the facts, issues, holding, and rationale behind each decision. However, there are some missing points of consideration that could have been explored further. For example, the article does not delve into the broader context of Canada's Start-up Visa program and its impact on entrepreneurship and innovation in Canada. It also does not discuss any potential biases or conflicts of interest that may have influenced the decisions made by visa officers.</w:t>
      </w:r>
    </w:p>
    <w:p>
      <w:pPr>
        <w:jc w:val="both"/>
      </w:pPr>
      <w:r>
        <w:rPr/>
        <w:t xml:space="preserve"/>
      </w:r>
    </w:p>
    <w:p>
      <w:pPr>
        <w:jc w:val="both"/>
      </w:pPr>
      <w:r>
        <w:rPr/>
        <w:t xml:space="preserve">Furthermore, while the article provides insights into potential procedural fairness issues in some cases, it does not explore counterarguments or alternative perspectives that may challenge these claims. For instance, in Mourato Lopes v. Canada (Citizenship and Immigration), 2019 FC 564, the court held that it was appropriate for the officer to focus on Ms. Mourato Lopes' progress during her authorized work period and that she had failed to provide objective evidence of her successes relating to her stated roles. However, there may be arguments that suggest that focusing solely on this period may not provide a complete picture of an applicant's potential for success as an entrepreneur.</w:t>
      </w:r>
    </w:p>
    <w:p>
      <w:pPr>
        <w:jc w:val="both"/>
      </w:pPr>
      <w:r>
        <w:rPr/>
        <w:t xml:space="preserve"/>
      </w:r>
    </w:p>
    <w:p>
      <w:pPr>
        <w:jc w:val="both"/>
      </w:pPr>
      <w:r>
        <w:rPr/>
        <w:t xml:space="preserve">Overall, while the article provides a useful summary of recent Canadian case law related to the Start-up Visa program, it could benefit from exploring broader contextual factors and alternative perspectives to provide a more comprehensive analysis.</w:t>
      </w:r>
    </w:p>
    <w:p>
      <w:pPr>
        <w:pStyle w:val="Heading1"/>
      </w:pPr>
      <w:bookmarkStart w:id="5" w:name="_Toc5"/>
      <w:r>
        <w:t>Topics for further research:</w:t>
      </w:r>
      <w:bookmarkEnd w:id="5"/>
    </w:p>
    <w:p>
      <w:pPr>
        <w:spacing w:after="0"/>
        <w:numPr>
          <w:ilvl w:val="0"/>
          <w:numId w:val="2"/>
        </w:numPr>
      </w:pPr>
      <w:r>
        <w:rPr/>
        <w:t xml:space="preserve">Impact of Canada's Start-up Visa program on entrepreneurship and innovation in Canada
</w:t>
      </w:r>
    </w:p>
    <w:p>
      <w:pPr>
        <w:spacing w:after="0"/>
        <w:numPr>
          <w:ilvl w:val="0"/>
          <w:numId w:val="2"/>
        </w:numPr>
      </w:pPr>
      <w:r>
        <w:rPr/>
        <w:t xml:space="preserve">Biases and conflicts of interest in Canadian visa officer decisions
</w:t>
      </w:r>
    </w:p>
    <w:p>
      <w:pPr>
        <w:spacing w:after="0"/>
        <w:numPr>
          <w:ilvl w:val="0"/>
          <w:numId w:val="2"/>
        </w:numPr>
      </w:pPr>
      <w:r>
        <w:rPr/>
        <w:t xml:space="preserve">Procedural fairness issues in Canadian immigration cases
</w:t>
      </w:r>
    </w:p>
    <w:p>
      <w:pPr>
        <w:spacing w:after="0"/>
        <w:numPr>
          <w:ilvl w:val="0"/>
          <w:numId w:val="2"/>
        </w:numPr>
      </w:pPr>
      <w:r>
        <w:rPr/>
        <w:t xml:space="preserve">Alternative perspectives on the importance of an applicant's progress during their authorized work period
</w:t>
      </w:r>
    </w:p>
    <w:p>
      <w:pPr>
        <w:spacing w:after="0"/>
        <w:numPr>
          <w:ilvl w:val="0"/>
          <w:numId w:val="2"/>
        </w:numPr>
      </w:pPr>
      <w:r>
        <w:rPr/>
        <w:t xml:space="preserve">Success rates of Start-up Visa program participants in Canada
</w:t>
      </w:r>
    </w:p>
    <w:p>
      <w:pPr>
        <w:numPr>
          <w:ilvl w:val="0"/>
          <w:numId w:val="2"/>
        </w:numPr>
      </w:pPr>
      <w:r>
        <w:rPr/>
        <w:t xml:space="preserve">Comparison of Canada's Start-up Visa program to similar programs in other countries.</w:t>
      </w:r>
    </w:p>
    <w:p>
      <w:pPr>
        <w:pStyle w:val="Heading1"/>
      </w:pPr>
      <w:bookmarkStart w:id="6" w:name="_Toc6"/>
      <w:r>
        <w:t>Report location:</w:t>
      </w:r>
      <w:bookmarkEnd w:id="6"/>
    </w:p>
    <w:p>
      <w:hyperlink r:id="rId8" w:history="1">
        <w:r>
          <w:rPr>
            <w:color w:val="2980b9"/>
            <w:u w:val="single"/>
          </w:rPr>
          <w:t xml:space="preserve">https://www.fullpicture.app/item/cce95daeeea9f3833de6fec0f774b454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25C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lgpc.ca/portfolio/start-up-visa-canadian-case-law-summary/" TargetMode="External"/><Relationship Id="rId8" Type="http://schemas.openxmlformats.org/officeDocument/2006/relationships/hyperlink" Target="https://www.fullpicture.app/item/cce95daeeea9f3833de6fec0f774b4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2024-01-05T05:30:55+01:00</dcterms:created>
  <dcterms:modified xsi:type="dcterms:W3CDTF">2024-01-05T05:30:55+01:00</dcterms:modified>
</cp:coreProperties>
</file>

<file path=docProps/custom.xml><?xml version="1.0" encoding="utf-8"?>
<Properties xmlns="http://schemas.openxmlformats.org/officeDocument/2006/custom-properties" xmlns:vt="http://schemas.openxmlformats.org/officeDocument/2006/docPropsVTypes"/>
</file>