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Key terms in second language acquisition.pdf</w:t>
      </w:r>
      <w:br/>
      <w:hyperlink r:id="rId7" w:history="1">
        <w:r>
          <w:rPr>
            <w:color w:val="2980b9"/>
            <w:u w:val="single"/>
          </w:rPr>
          <w:t xml:space="preserve">https://typeset.io/library/zhu-guan-yu-yan-huo-li-can-kao-wen-xian-2-2-3e0kndoc/key-terms-in-second-language-acquisition-pdf-23349v40</w:t>
        </w:r>
      </w:hyperlink>
    </w:p>
    <w:p>
      <w:pPr>
        <w:pStyle w:val="Heading1"/>
      </w:pPr>
      <w:bookmarkStart w:id="2" w:name="_Toc2"/>
      <w:r>
        <w:t>Article summary:</w:t>
      </w:r>
      <w:bookmarkEnd w:id="2"/>
    </w:p>
    <w:p>
      <w:pPr>
        <w:jc w:val="both"/>
      </w:pPr>
      <w:r>
        <w:rPr/>
        <w:t xml:space="preserve">1. Ethnolinguistic Vitality Theory (EVT) asserts that Status, Demographic, Institutional Support and Control factors make up the vitality of ethnolinguistic groups, and an assessment of a group’s strengths and weaknesses in each of these dimensions provides a rough classification of ethnolinguistic groups into those having low, medium, or high vitality.</w:t>
      </w:r>
    </w:p>
    <w:p>
      <w:pPr>
        <w:jc w:val="both"/>
      </w:pPr>
      <w:r>
        <w:rPr/>
        <w:t xml:space="preserve"/>
      </w:r>
    </w:p>
    <w:p>
      <w:pPr>
        <w:jc w:val="both"/>
      </w:pPr>
      <w:r>
        <w:rPr/>
        <w:t xml:space="preserve">2. EVT provides a broader and more inclusive framework for the investigation of language maintenance and shift compared to other models, but empirical evidence obtained in a number of contexts points to an underestimation of the actual vitality of some minority groups.</w:t>
      </w:r>
    </w:p>
    <w:p>
      <w:pPr>
        <w:jc w:val="both"/>
      </w:pPr>
      <w:r>
        <w:rPr/>
        <w:t xml:space="preserve"/>
      </w:r>
    </w:p>
    <w:p>
      <w:pPr>
        <w:jc w:val="both"/>
      </w:pPr>
      <w:r>
        <w:rPr/>
        <w:t xml:space="preserve">3. Turkish immigrants constitute the largest immigrant groups in Austria, Germany, and the Netherlands, and their integration still dominates the social and political agendas of receiving societies. Language problems play a serious role in the settlement process, and education is also a major obstacle in the integration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该文章主要评估了Ethnolinguistic Vitality Theory（EVT）在土耳其移民的四个国家中的适用性。然而，该文章存在一些偏见和不足之处。</w:t>
      </w:r>
    </w:p>
    <w:p>
      <w:pPr>
        <w:jc w:val="both"/>
      </w:pPr>
      <w:r>
        <w:rPr/>
        <w:t xml:space="preserve"/>
      </w:r>
    </w:p>
    <w:p>
      <w:pPr>
        <w:jc w:val="both"/>
      </w:pPr>
      <w:r>
        <w:rPr/>
        <w:t xml:space="preserve">首先，该文章没有考虑到土耳其移民可能面临的歧视和排斥问题。这些问题可能会影响他们对自己群体的认同感和对主流社会的态度，从而影响他们对语言维护和转变的看法。</w:t>
      </w:r>
    </w:p>
    <w:p>
      <w:pPr>
        <w:jc w:val="both"/>
      </w:pPr>
      <w:r>
        <w:rPr/>
        <w:t xml:space="preserve"/>
      </w:r>
    </w:p>
    <w:p>
      <w:pPr>
        <w:jc w:val="both"/>
      </w:pPr>
      <w:r>
        <w:rPr/>
        <w:t xml:space="preserve">其次，该文章没有探讨土耳其移民如何与当地社区互动以及如何融入当地文化。这些因素也可能影响他们对语言维护和转变的看法。</w:t>
      </w:r>
    </w:p>
    <w:p>
      <w:pPr>
        <w:jc w:val="both"/>
      </w:pPr>
      <w:r>
        <w:rPr/>
        <w:t xml:space="preserve"/>
      </w:r>
    </w:p>
    <w:p>
      <w:pPr>
        <w:jc w:val="both"/>
      </w:pPr>
      <w:r>
        <w:rPr/>
        <w:t xml:space="preserve">此外，该文章没有提供足够的证据来支持其关于EVT低估某些少数群体实际活力的主张。作者只是简单地指出了一些研究结果，并未深入分析这些结果是否真正反映了少数群体的实际情况。</w:t>
      </w:r>
    </w:p>
    <w:p>
      <w:pPr>
        <w:jc w:val="both"/>
      </w:pPr>
      <w:r>
        <w:rPr/>
        <w:t xml:space="preserve"/>
      </w:r>
    </w:p>
    <w:p>
      <w:pPr>
        <w:jc w:val="both"/>
      </w:pPr>
      <w:r>
        <w:rPr/>
        <w:t xml:space="preserve">最后，该文章没有平等地呈现双方观点。作者只关注了土耳其移民对自己群体和主流社会的看法，而忽略了主流社会对土耳其移民和他们语言使用情况的看法。</w:t>
      </w:r>
    </w:p>
    <w:p>
      <w:pPr>
        <w:jc w:val="both"/>
      </w:pPr>
      <w:r>
        <w:rPr/>
        <w:t xml:space="preserve"/>
      </w:r>
    </w:p>
    <w:p>
      <w:pPr>
        <w:jc w:val="both"/>
      </w:pPr>
      <w:r>
        <w:rPr/>
        <w:t xml:space="preserve">总之，尽管该文章提供了有价值的信息，但它存在一些偏见和不足之处。为了更全面地评估EVT在移民语言维护和转变中的适用性，需要考虑更多因素，并提供更充分的证据来支持其主张。</w:t>
      </w:r>
    </w:p>
    <w:p>
      <w:pPr>
        <w:pStyle w:val="Heading1"/>
      </w:pPr>
      <w:bookmarkStart w:id="5" w:name="_Toc5"/>
      <w:r>
        <w:t>Topics for further research:</w:t>
      </w:r>
      <w:bookmarkEnd w:id="5"/>
    </w:p>
    <w:p>
      <w:pPr>
        <w:spacing w:after="0"/>
        <w:numPr>
          <w:ilvl w:val="0"/>
          <w:numId w:val="2"/>
        </w:numPr>
      </w:pPr>
      <w:r>
        <w:rPr/>
        <w:t xml:space="preserve">Discrimination and exclusion faced by Turkish immigrants
</w:t>
      </w:r>
    </w:p>
    <w:p>
      <w:pPr>
        <w:spacing w:after="0"/>
        <w:numPr>
          <w:ilvl w:val="0"/>
          <w:numId w:val="2"/>
        </w:numPr>
      </w:pPr>
      <w:r>
        <w:rPr/>
        <w:t xml:space="preserve">Interaction and integration with local communities and cultures
</w:t>
      </w:r>
    </w:p>
    <w:p>
      <w:pPr>
        <w:spacing w:after="0"/>
        <w:numPr>
          <w:ilvl w:val="0"/>
          <w:numId w:val="2"/>
        </w:numPr>
      </w:pPr>
      <w:r>
        <w:rPr/>
        <w:t xml:space="preserve">Evidence supporting the claim that EVT underestimates minority group vitality
</w:t>
      </w:r>
    </w:p>
    <w:p>
      <w:pPr>
        <w:spacing w:after="0"/>
        <w:numPr>
          <w:ilvl w:val="0"/>
          <w:numId w:val="2"/>
        </w:numPr>
      </w:pPr>
      <w:r>
        <w:rPr/>
        <w:t xml:space="preserve">Perspectives of mainstream society on Turkish immigrants and their language use
</w:t>
      </w:r>
    </w:p>
    <w:p>
      <w:pPr>
        <w:spacing w:after="0"/>
        <w:numPr>
          <w:ilvl w:val="0"/>
          <w:numId w:val="2"/>
        </w:numPr>
      </w:pPr>
      <w:r>
        <w:rPr/>
        <w:t xml:space="preserve">Factors influencing attitudes towards language maintenance and shift
</w:t>
      </w:r>
    </w:p>
    <w:p>
      <w:pPr>
        <w:numPr>
          <w:ilvl w:val="0"/>
          <w:numId w:val="2"/>
        </w:numPr>
      </w:pPr>
      <w:r>
        <w:rPr/>
        <w:t xml:space="preserve">Need for a more comprehensive evaluation of EVT in immigrant language maintenance and shift.</w:t>
      </w:r>
    </w:p>
    <w:p>
      <w:pPr>
        <w:pStyle w:val="Heading1"/>
      </w:pPr>
      <w:bookmarkStart w:id="6" w:name="_Toc6"/>
      <w:r>
        <w:t>Report location:</w:t>
      </w:r>
      <w:bookmarkEnd w:id="6"/>
    </w:p>
    <w:p>
      <w:hyperlink r:id="rId8" w:history="1">
        <w:r>
          <w:rPr>
            <w:color w:val="2980b9"/>
            <w:u w:val="single"/>
          </w:rPr>
          <w:t xml:space="preserve">https://www.fullpicture.app/item/cc23847b95bbad2be173a6a2f16c5b65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7AF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2-2-3e0kndoc/key-terms-in-second-language-acquisition-pdf-23349v40" TargetMode="External"/><Relationship Id="rId8" Type="http://schemas.openxmlformats.org/officeDocument/2006/relationships/hyperlink" Target="https://www.fullpicture.app/item/cc23847b95bbad2be173a6a2f16c5b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2023-03-30T15:47:16+02:00</dcterms:created>
  <dcterms:modified xsi:type="dcterms:W3CDTF">2023-03-30T15:47:16+02:00</dcterms:modified>
</cp:coreProperties>
</file>

<file path=docProps/custom.xml><?xml version="1.0" encoding="utf-8"?>
<Properties xmlns="http://schemas.openxmlformats.org/officeDocument/2006/custom-properties" xmlns:vt="http://schemas.openxmlformats.org/officeDocument/2006/docPropsVTypes"/>
</file>