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Skill, Scale, and Value Creation in the Mutual Fund Industry - BARRAS - 2022 - The Journal of Finance - Wiley Online Library</w:t>
      </w:r>
      <w:br/>
      <w:hyperlink r:id="rId7" w:history="1">
        <w:r>
          <w:rPr>
            <w:color w:val="2980b9"/>
            <w:u w:val="single"/>
          </w:rPr>
          <w:t xml:space="preserve">https://vpn.jlu.edu.cn/https/44696469646131313237446964696461a576f0610dcda71ece49e67ece2b82fbd202319752e72e/doi/10.1111/jofi.13096</w:t>
        </w:r>
      </w:hyperlink>
    </w:p>
    <w:p>
      <w:pPr>
        <w:pStyle w:val="Heading1"/>
      </w:pPr>
      <w:bookmarkStart w:id="2" w:name="_Toc2"/>
      <w:r>
        <w:t>Article summary:</w:t>
      </w:r>
      <w:bookmarkEnd w:id="2"/>
    </w:p>
    <w:p>
      <w:pPr>
        <w:jc w:val="both"/>
      </w:pPr>
      <w:r>
        <w:rPr/>
        <w:t xml:space="preserve">1. The academic literature on mutual funds has primarily focused on performance, but there is a lack of research on value creation in the mutual fund industry.</w:t>
      </w:r>
    </w:p>
    <w:p>
      <w:pPr>
        <w:jc w:val="both"/>
      </w:pPr>
      <w:r>
        <w:rPr/>
        <w:t xml:space="preserve">2. Value creation in mutual funds can occur through superior information and stock picking, factor timing, or providing liquidity to absorb selling pressure.</w:t>
      </w:r>
    </w:p>
    <w:p>
      <w:pPr>
        <w:jc w:val="both"/>
      </w:pPr>
      <w:r>
        <w:rPr/>
        <w:t xml:space="preserve">3. This paper proposes an alternative decomposition of value-added by focusing on skill (the fund's ability to identify profitable investment ideas) and scalability (the fund's exposure to scale constraints when it grows in size). The analysis aims to quantify the number of funds that create value, assess whether they do so with more profitable or scalable ideas, examine if funds create more value over time as investors learn about skill and scalability, measure how far fund value-added is from its optimal level given skill and scalability, and determine if the industry delivers negative alpha due to unskilled funds or excessive scaling of ideas.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这篇文章主要探讨了互惠基金行业中的技能、规模和价值创造。然而，文章存在一些潜在的偏见和局限性。</w:t>
      </w:r>
    </w:p>
    <w:p>
      <w:pPr>
        <w:jc w:val="both"/>
      </w:pPr>
      <w:r>
        <w:rPr/>
        <w:t xml:space="preserve"/>
      </w:r>
    </w:p>
    <w:p>
      <w:pPr>
        <w:jc w:val="both"/>
      </w:pPr>
      <w:r>
        <w:rPr/>
        <w:t xml:space="preserve">首先，文章将价值创造定义为基金的总体alpha和规模的乘积，类似于公司的经济租金。然而，这种定义可能过于简化，并没有考虑到其他因素对价值创造的影响。例如，基金管理人员的投资策略、市场环境以及投资者需求等因素都可能对基金的价值创造产生重要影响，但在文章中并未充分讨论。</w:t>
      </w:r>
    </w:p>
    <w:p>
      <w:pPr>
        <w:jc w:val="both"/>
      </w:pPr>
      <w:r>
        <w:rPr/>
        <w:t xml:space="preserve"/>
      </w:r>
    </w:p>
    <w:p>
      <w:pPr>
        <w:jc w:val="both"/>
      </w:pPr>
      <w:r>
        <w:rPr/>
        <w:t xml:space="preserve">其次，文章提出了一个新的估计方法来推断技能、可扩展性和增加值的整个横截面分布。然而，该方法是否准确可靠并未得到充分验证。作者没有提供足够的数据或实证研究来支持他们所使用方法的有效性和准确性。</w:t>
      </w:r>
    </w:p>
    <w:p>
      <w:pPr>
        <w:jc w:val="both"/>
      </w:pPr>
      <w:r>
        <w:rPr/>
        <w:t xml:space="preserve"/>
      </w:r>
    </w:p>
    <w:p>
      <w:pPr>
        <w:jc w:val="both"/>
      </w:pPr>
      <w:r>
        <w:rPr/>
        <w:t xml:space="preserve">此外，在讨论基金是否创造更多价值随着投资者对技能和可扩展性认识程度提高时，并没有考虑到其他可能影响基金价值创造的因素。例如，市场波动、政策变化以及竞争压力等都可能对基金业绩产生重要影响，但在文章中并未充分讨论。</w:t>
      </w:r>
    </w:p>
    <w:p>
      <w:pPr>
        <w:jc w:val="both"/>
      </w:pPr>
      <w:r>
        <w:rPr/>
        <w:t xml:space="preserve"/>
      </w:r>
    </w:p>
    <w:p>
      <w:pPr>
        <w:jc w:val="both"/>
      </w:pPr>
      <w:r>
        <w:rPr/>
        <w:t xml:space="preserve">最后，文章没有平等地呈现双方的观点。它主要关注基金的技能和可扩展性对价值创造的影响，而忽视了其他可能解释基金绩效的因素。这种片面报道可能导致读者对该行业的理解不完整，并产生误导。</w:t>
      </w:r>
    </w:p>
    <w:p>
      <w:pPr>
        <w:jc w:val="both"/>
      </w:pPr>
      <w:r>
        <w:rPr/>
        <w:t xml:space="preserve"/>
      </w:r>
    </w:p>
    <w:p>
      <w:pPr>
        <w:jc w:val="both"/>
      </w:pPr>
      <w:r>
        <w:rPr/>
        <w:t xml:space="preserve">综上所述，尽管这篇文章提出了一些有趣的观点和研究方法，但它存在一些潜在的偏见和局限性。进一步研究和实证分析是必要的，以更全面、客观地评估互惠基金行业中的技能、规模和价值创造。</w:t>
      </w:r>
    </w:p>
    <w:p>
      <w:pPr>
        <w:pStyle w:val="Heading1"/>
      </w:pPr>
      <w:bookmarkStart w:id="5" w:name="_Toc5"/>
      <w:r>
        <w:t>Topics for further research:</w:t>
      </w:r>
      <w:bookmarkEnd w:id="5"/>
    </w:p>
    <w:p>
      <w:pPr>
        <w:spacing w:after="0"/>
        <w:numPr>
          <w:ilvl w:val="0"/>
          <w:numId w:val="2"/>
        </w:numPr>
      </w:pPr>
      <w:r>
        <w:rPr/>
        <w:t xml:space="preserve">基金管理人员的投资策略对基金价值创造的影响
</w:t>
      </w:r>
    </w:p>
    <w:p>
      <w:pPr>
        <w:spacing w:after="0"/>
        <w:numPr>
          <w:ilvl w:val="0"/>
          <w:numId w:val="2"/>
        </w:numPr>
      </w:pPr>
      <w:r>
        <w:rPr/>
        <w:t xml:space="preserve">市场环境对基金价值创造的影响
</w:t>
      </w:r>
    </w:p>
    <w:p>
      <w:pPr>
        <w:spacing w:after="0"/>
        <w:numPr>
          <w:ilvl w:val="0"/>
          <w:numId w:val="2"/>
        </w:numPr>
      </w:pPr>
      <w:r>
        <w:rPr/>
        <w:t xml:space="preserve">投资者需求对基金价值创造的影响
</w:t>
      </w:r>
    </w:p>
    <w:p>
      <w:pPr>
        <w:spacing w:after="0"/>
        <w:numPr>
          <w:ilvl w:val="0"/>
          <w:numId w:val="2"/>
        </w:numPr>
      </w:pPr>
      <w:r>
        <w:rPr/>
        <w:t xml:space="preserve">估计方法的准确性和可靠性
</w:t>
      </w:r>
    </w:p>
    <w:p>
      <w:pPr>
        <w:spacing w:after="0"/>
        <w:numPr>
          <w:ilvl w:val="0"/>
          <w:numId w:val="2"/>
        </w:numPr>
      </w:pPr>
      <w:r>
        <w:rPr/>
        <w:t xml:space="preserve">其他可能影响基金价值创造的因素
</w:t>
      </w:r>
    </w:p>
    <w:p>
      <w:pPr>
        <w:numPr>
          <w:ilvl w:val="0"/>
          <w:numId w:val="2"/>
        </w:numPr>
      </w:pPr>
      <w:r>
        <w:rPr/>
        <w:t xml:space="preserve">对基金绩效的其他可能解释</w:t>
      </w:r>
    </w:p>
    <w:p>
      <w:pPr>
        <w:pStyle w:val="Heading1"/>
      </w:pPr>
      <w:bookmarkStart w:id="6" w:name="_Toc6"/>
      <w:r>
        <w:t>Report location:</w:t>
      </w:r>
      <w:bookmarkEnd w:id="6"/>
    </w:p>
    <w:p>
      <w:hyperlink r:id="rId8" w:history="1">
        <w:r>
          <w:rPr>
            <w:color w:val="2980b9"/>
            <w:u w:val="single"/>
          </w:rPr>
          <w:t xml:space="preserve">https://www.fullpicture.app/item/cb65fe54b0bb6a4d3f692868e9ce9de2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452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a576f0610dcda71ece49e67ece2b82fbd202319752e72e/doi/10.1111/jofi.13096" TargetMode="External"/><Relationship Id="rId8" Type="http://schemas.openxmlformats.org/officeDocument/2006/relationships/hyperlink" Target="https://www.fullpicture.app/item/cb65fe54b0bb6a4d3f692868e9ce9d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2024-05-06T10:17:34+02:00</dcterms:created>
  <dcterms:modified xsi:type="dcterms:W3CDTF">2024-05-06T10:17:34+02:00</dcterms:modified>
</cp:coreProperties>
</file>

<file path=docProps/custom.xml><?xml version="1.0" encoding="utf-8"?>
<Properties xmlns="http://schemas.openxmlformats.org/officeDocument/2006/custom-properties" xmlns:vt="http://schemas.openxmlformats.org/officeDocument/2006/docPropsVTypes"/>
</file>