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Élargissements et intégration dans l'Union [*] | Cairn.info</w:t>
      </w:r>
      <w:br/>
      <w:hyperlink r:id="rId7" w:history="1">
        <w:r>
          <w:rPr>
            <w:color w:val="2980b9"/>
            <w:u w:val="single"/>
          </w:rPr>
          <w:t xml:space="preserve">https://www.cairn.info/revue-politique-etrangere-2007-2-page-367.htm</w:t>
        </w:r>
      </w:hyperlink>
    </w:p>
    <w:p>
      <w:pPr>
        <w:pStyle w:val="Heading1"/>
      </w:pPr>
      <w:bookmarkStart w:id="2" w:name="_Toc2"/>
      <w:r>
        <w:t>Article summary:</w:t>
      </w:r>
      <w:bookmarkEnd w:id="2"/>
    </w:p>
    <w:p>
      <w:pPr>
        <w:jc w:val="both"/>
      </w:pPr>
      <w:r>
        <w:rPr/>
        <w:t xml:space="preserve">1. Le concept de capacité d'intégration dans l'Union européenne est apparu avec les critères de Copenhague en 1993 et a depuis évolué pour se référer à la volonté de vivre ensemble fondée sur des valeurs partagées.</w:t>
      </w:r>
    </w:p>
    <w:p>
      <w:pPr>
        <w:jc w:val="both"/>
      </w:pPr>
      <w:r>
        <w:rPr/>
        <w:t xml:space="preserve">2. Les élargissements successifs ont toujours été suivis d'un approfondissement de certaines politiques, mais l'exception récente du rejet du traité constitutionnel par les électeurs français et néerlandais remet en question cette tendance.</w:t>
      </w:r>
    </w:p>
    <w:p>
      <w:pPr>
        <w:jc w:val="both"/>
      </w:pPr>
      <w:r>
        <w:rPr/>
        <w:t xml:space="preserve">3. La capacité d'intégration doit prendre en compte l'aspect institutionnel et la capacité financière de l'Union européenne, ainsi que la préparation des pays candidats à l'adhésion. Malgré une morosité politique, des succès économiques sont à mettre au crédit de la politique d'élargissement.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 la capacité d'intégration de l'Union européenne (UE) dans le contexte des élargissements successifs. Il souligne que la notion de capacité d'intégration a évolué depuis les critères de Copenhague et qu'elle doit prendre en compte l'aspect institutionnel et financier de l'UE. L'article examine également le dilemme entre approfondissement et élargissement, affirmant que chaque élargissement a été accompagné d'une certaine forme d'approfondissement jusqu'à récemment.</w:t>
      </w:r>
    </w:p>
    <w:p>
      <w:pPr>
        <w:jc w:val="both"/>
      </w:pPr>
      <w:r>
        <w:rPr/>
        <w:t xml:space="preserve"/>
      </w:r>
    </w:p>
    <w:p>
      <w:pPr>
        <w:jc w:val="both"/>
      </w:pPr>
      <w:r>
        <w:rPr/>
        <w:t xml:space="preserve">Cependant, l'article présente certains biais potentiels. Tout d'abord, il ne prend pas en compte les critiques concernant les coûts économiques et sociaux des élargissements successifs pour les États membres existants et pour les nouveaux membres. De plus, il ne mentionne pas les préoccupations concernant la perte de souveraineté nationale dans le cadre de l'intégration européenne.</w:t>
      </w:r>
    </w:p>
    <w:p>
      <w:pPr>
        <w:jc w:val="both"/>
      </w:pPr>
      <w:r>
        <w:rPr/>
        <w:t xml:space="preserve"/>
      </w:r>
    </w:p>
    <w:p>
      <w:pPr>
        <w:jc w:val="both"/>
      </w:pPr>
      <w:r>
        <w:rPr/>
        <w:t xml:space="preserve">En outre, l'article semble promouvoir une vision positive de la politique d'élargissement sans aborder suffisamment les défis auxquels sont confrontés les nouveaux membres, tels que la corruption et la faiblesse des institutions démocratiques. Enfin, il ne présente pas suffisamment les arguments contre l'élargissement continu de l'UE, tels que ceux liés à la diversité culturelle et à la cohésion sociale.</w:t>
      </w:r>
    </w:p>
    <w:p>
      <w:pPr>
        <w:jc w:val="both"/>
      </w:pPr>
      <w:r>
        <w:rPr/>
        <w:t xml:space="preserve"/>
      </w:r>
    </w:p>
    <w:p>
      <w:pPr>
        <w:jc w:val="both"/>
      </w:pPr>
      <w:r>
        <w:rPr/>
        <w:t xml:space="preserve">Dans l'ensemble, bien que l'article fournisse une analyse intéressante de la capacité d'intégration de l'UE dans le contexte des élargissements successifs, il présente certains biais potentiels qui limitent sa portée critique.</w:t>
      </w:r>
    </w:p>
    <w:p>
      <w:pPr>
        <w:pStyle w:val="Heading1"/>
      </w:pPr>
      <w:bookmarkStart w:id="5" w:name="_Toc5"/>
      <w:r>
        <w:t>Topics for further research:</w:t>
      </w:r>
      <w:bookmarkEnd w:id="5"/>
    </w:p>
    <w:p>
      <w:pPr>
        <w:spacing w:after="0"/>
        <w:numPr>
          <w:ilvl w:val="0"/>
          <w:numId w:val="2"/>
        </w:numPr>
      </w:pPr>
      <w:r>
        <w:rPr/>
        <w:t xml:space="preserve">Critiques des coûts économiques et sociaux des élargissements successifs de l'UE pour les États membres existants et les nouveaux membres.
</w:t>
      </w:r>
    </w:p>
    <w:p>
      <w:pPr>
        <w:spacing w:after="0"/>
        <w:numPr>
          <w:ilvl w:val="0"/>
          <w:numId w:val="2"/>
        </w:numPr>
      </w:pPr>
      <w:r>
        <w:rPr/>
        <w:t xml:space="preserve">Préoccupations concernant la perte de souveraineté nationale dans le cadre de l'intégration européenne.
</w:t>
      </w:r>
    </w:p>
    <w:p>
      <w:pPr>
        <w:spacing w:after="0"/>
        <w:numPr>
          <w:ilvl w:val="0"/>
          <w:numId w:val="2"/>
        </w:numPr>
      </w:pPr>
      <w:r>
        <w:rPr/>
        <w:t xml:space="preserve">Défis auxquels sont confrontés les nouveaux membres de l'UE</w:t>
      </w:r>
    </w:p>
    <w:p>
      <w:pPr>
        <w:spacing w:after="0"/>
        <w:numPr>
          <w:ilvl w:val="0"/>
          <w:numId w:val="2"/>
        </w:numPr>
      </w:pPr>
      <w:r>
        <w:rPr/>
        <w:t xml:space="preserve">tels que la corruption et la faiblesse des institutions démocratiques.
</w:t>
      </w:r>
    </w:p>
    <w:p>
      <w:pPr>
        <w:spacing w:after="0"/>
        <w:numPr>
          <w:ilvl w:val="0"/>
          <w:numId w:val="2"/>
        </w:numPr>
      </w:pPr>
      <w:r>
        <w:rPr/>
        <w:t xml:space="preserve">Arguments contre l'élargissement continu de l'UE</w:t>
      </w:r>
    </w:p>
    <w:p>
      <w:pPr>
        <w:spacing w:after="0"/>
        <w:numPr>
          <w:ilvl w:val="0"/>
          <w:numId w:val="2"/>
        </w:numPr>
      </w:pPr>
      <w:r>
        <w:rPr/>
        <w:t xml:space="preserve">tels que ceux liés à la diversité culturelle et à la cohésion sociale.
</w:t>
      </w:r>
    </w:p>
    <w:p>
      <w:pPr>
        <w:spacing w:after="0"/>
        <w:numPr>
          <w:ilvl w:val="0"/>
          <w:numId w:val="2"/>
        </w:numPr>
      </w:pPr>
      <w:r>
        <w:rPr/>
        <w:t xml:space="preserve">Les impacts des élargissements successifs sur les politiques de l'UE</w:t>
      </w:r>
    </w:p>
    <w:p>
      <w:pPr>
        <w:spacing w:after="0"/>
        <w:numPr>
          <w:ilvl w:val="0"/>
          <w:numId w:val="2"/>
        </w:numPr>
      </w:pPr>
      <w:r>
        <w:rPr/>
        <w:t xml:space="preserve">telles que la politique agricole commune et la politique de cohésion.
</w:t>
      </w:r>
    </w:p>
    <w:p>
      <w:pPr>
        <w:spacing w:after="0"/>
        <w:numPr>
          <w:ilvl w:val="0"/>
          <w:numId w:val="2"/>
        </w:numPr>
      </w:pPr>
      <w:r>
        <w:rPr/>
        <w:t xml:space="preserve">Les perspectives d'élargissement futur de l'UE</w:t>
      </w:r>
    </w:p>
    <w:p>
      <w:pPr>
        <w:numPr>
          <w:ilvl w:val="0"/>
          <w:numId w:val="2"/>
        </w:numPr>
      </w:pPr>
      <w:r>
        <w:rPr/>
        <w:t xml:space="preserve">y compris les pays candidats potentiels et les critères d'adhésion.</w:t>
      </w:r>
    </w:p>
    <w:p>
      <w:pPr>
        <w:pStyle w:val="Heading1"/>
      </w:pPr>
      <w:bookmarkStart w:id="6" w:name="_Toc6"/>
      <w:r>
        <w:t>Report location:</w:t>
      </w:r>
      <w:bookmarkEnd w:id="6"/>
    </w:p>
    <w:p>
      <w:hyperlink r:id="rId8" w:history="1">
        <w:r>
          <w:rPr>
            <w:color w:val="2980b9"/>
            <w:u w:val="single"/>
          </w:rPr>
          <w:t xml:space="preserve">https://www.fullpicture.app/item/c8e6abcd6e394edfe07c0c6a73f3f986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9C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politique-etrangere-2007-2-page-367.htm" TargetMode="External"/><Relationship Id="rId8" Type="http://schemas.openxmlformats.org/officeDocument/2006/relationships/hyperlink" Target="https://www.fullpicture.app/item/c8e6abcd6e394edfe07c0c6a73f3f9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2024-01-19T13:01:56+01:00</dcterms:created>
  <dcterms:modified xsi:type="dcterms:W3CDTF">2024-01-19T13:01:56+01:00</dcterms:modified>
</cp:coreProperties>
</file>

<file path=docProps/custom.xml><?xml version="1.0" encoding="utf-8"?>
<Properties xmlns="http://schemas.openxmlformats.org/officeDocument/2006/custom-properties" xmlns:vt="http://schemas.openxmlformats.org/officeDocument/2006/docPropsVTypes"/>
</file>